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jc w:val="center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ИНСТРУКЦИЯ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br/>
      </w:r>
      <w:r w:rsidRPr="00E710BB">
        <w:rPr>
          <w:rFonts w:ascii="Arial" w:hAnsi="Arial" w:cs="Arial"/>
          <w:caps/>
          <w:color w:val="000091"/>
          <w:sz w:val="16"/>
          <w:szCs w:val="16"/>
          <w:lang w:bidi="ar-SA"/>
        </w:rPr>
        <w:t>по медицинскому применению лекарственного препарата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jc w:val="center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val="en-US" w:bidi="ar-SA"/>
        </w:rPr>
      </w:pPr>
      <w:proofErr w:type="spellStart"/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Урсолив</w:t>
      </w:r>
      <w:proofErr w:type="spellEnd"/>
      <w:r w:rsidRPr="00E710BB">
        <w:rPr>
          <w:rFonts w:ascii="Arial" w:hAnsi="Arial" w:cs="Arial"/>
          <w:b/>
          <w:bCs/>
          <w:color w:val="000091"/>
          <w:sz w:val="16"/>
          <w:szCs w:val="16"/>
          <w:vertAlign w:val="superscript"/>
          <w:lang w:bidi="ar-SA"/>
        </w:rPr>
        <w:t>®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 xml:space="preserve">Регистрационный номер: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ЛСР-009125/10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Торговое наименование препарата: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Международное непатентованное наименование: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Лекарственная форма: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капсулы.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Состав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Состав на одну капсулу: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действующее вещество: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- 250,0 мг.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вспомогательные вещества: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лактулоза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- 300,0 мг, тальк - 18,0 мг, целлюлоза микрокристаллическая 102 </w:t>
      </w:r>
      <w:r>
        <w:rPr>
          <w:rFonts w:ascii="Arial" w:hAnsi="Arial" w:cs="Arial"/>
          <w:color w:val="000091"/>
          <w:sz w:val="16"/>
          <w:szCs w:val="16"/>
          <w:lang w:bidi="ar-SA"/>
        </w:rPr>
        <w:t>–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д</w:t>
      </w:r>
      <w:r>
        <w:rPr>
          <w:rFonts w:ascii="Arial" w:hAnsi="Arial" w:cs="Arial"/>
          <w:color w:val="000091"/>
          <w:sz w:val="16"/>
          <w:szCs w:val="16"/>
          <w:lang w:bidi="ar-SA"/>
        </w:rPr>
        <w:t xml:space="preserve">о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получения содержимого капсулы массой 600,0</w:t>
      </w:r>
      <w:r w:rsidRPr="00E710BB">
        <w:rPr>
          <w:rFonts w:ascii="Arial" w:hAnsi="Arial" w:cs="Arial"/>
          <w:color w:val="000091"/>
          <w:sz w:val="16"/>
          <w:szCs w:val="16"/>
          <w:lang w:val="en-US" w:bidi="ar-SA"/>
        </w:rPr>
        <w:t> 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мг.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i/>
          <w:i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капсулы твердые желатиновые: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корпус: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краситель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азорубин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(Е 122) - 0,05 %, титана диоксид - 1,00 %, желатин - до 100 %.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крышка: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краситель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азорубин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(Е 122) - 0,05 %, титана диоксид - 1,00 %, желатин - до 100 %.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Описание: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Твердые желатиновые капсулы № 00 с корпусом и крышкой розового цвета. Содержимое капсул – гранулированный порошок белого или почти белого цвета.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 xml:space="preserve">Фармакотерапевтическая группа: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Гепатопротекторное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средство.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Код АТХ: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A05AA02.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Фармакологические свойства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i/>
          <w:iCs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b/>
          <w:bCs/>
          <w:i/>
          <w:iCs/>
          <w:color w:val="000091"/>
          <w:sz w:val="16"/>
          <w:szCs w:val="16"/>
          <w:lang w:bidi="ar-SA"/>
        </w:rPr>
        <w:t>Фармакодинамика</w:t>
      </w:r>
      <w:proofErr w:type="spellEnd"/>
      <w:r w:rsidRPr="00E710BB">
        <w:rPr>
          <w:rFonts w:ascii="Arial" w:hAnsi="Arial" w:cs="Arial"/>
          <w:b/>
          <w:bCs/>
          <w:i/>
          <w:iCs/>
          <w:color w:val="000091"/>
          <w:sz w:val="16"/>
          <w:szCs w:val="16"/>
          <w:lang w:bidi="ar-SA"/>
        </w:rPr>
        <w:t>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Гепатопротекторное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средство, оказывает желчегонное действие. Уменьшает синтез холестерина в печени, всасывание его в кишечнике и концентрацию в желчи, повышает растворимость холестерина в желчевыводящей системе, стимулирует образование и выделение желчи. Снижает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литогенность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желчи, увеличивает в ней содержание желчных кислот; вызывает усиление желудочной и панкреатической секреции, усиливает активность липазы, оказывает гипогликемическое действие. Вызывает частичное или полное растворение холестериновых камней при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энтеральном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применении, уменьшает насыщенность желчи холестерином, что способствует мобилизации холестерина из желчных камней. Оказывает иммуномодулирующее действие, влияет на иммунологические реакции в печени: уменьшает экспрессию некоторых антигенов на мембране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гепатоцитов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, влияет на количество Т-лимфоцитов, образование интерлейкина-2, уменьшает количество эозинофилов.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u w:val="thick" w:color="000000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u w:val="thick"/>
          <w:lang w:bidi="ar-SA"/>
        </w:rPr>
        <w:t xml:space="preserve">Педиатрическая популяция 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i/>
          <w:iCs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Муковисцидоз</w:t>
      </w:r>
      <w:proofErr w:type="spellEnd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(кистозный фиброз)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Согласно данным клинических отчетов, имеется многолетний опыт (до 10 лет и более) лечения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кислотой педиатрических больных, страдающих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гепатобилиарной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болезнью, связанной с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муковисцидозом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(CFAHD). Имеются данные о том, что терапия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кислотой способна снижать пролиферацию желчных протоков, замедлять развитие повреждений, выявляемых при гистологическом исследовании, и даже способствовать обратному развитию изменений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гепатобилиарной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системы в случае, если терапия начинается на ранних стадиях CFAHD. В целях оптимизации эффективности лечения терапию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кислотой следует начинать как можно раньше после установления диагноза CFAHD.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i/>
          <w:iCs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b/>
          <w:bCs/>
          <w:i/>
          <w:iCs/>
          <w:color w:val="000091"/>
          <w:sz w:val="16"/>
          <w:szCs w:val="16"/>
          <w:lang w:bidi="ar-SA"/>
        </w:rPr>
        <w:t>Фармакокинетика</w:t>
      </w:r>
      <w:proofErr w:type="spellEnd"/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После приема внутрь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быстро всасывается в тощей кишке и проксимальном отделе подвздошной кишки путем пассивной диффузии, а в дистальном отделе подвздошной кишки - за счет активного транспорта. Всасывается приблизительно 60-80 % принятой дозы. После всасывания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почти полностью конъюгирует в печени с глицином 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таурином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и выводится с желчью. При первом прохождении через печень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метаболизируется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до 60 %.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В зависимости от суточной дозы, типа заболевания и состояния печени, в желчи накапливается большее или меньшее количество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кислоты. В то же время наблюдается относительное снижение содержания других, более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липофильных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желчных кислот.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Под действием кишечных бактерий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частично распадается с образованием 7-кето-литохолевой 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литохолевой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кислоты.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Литохолевая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гепатотоксична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; у некоторых видов животных она вызывает повреждение паренхимы печени. В организме человека она всасывается лишь в небольших количествах. В процессе метаболизма происходит ее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сульфатирование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в печени, за счет чего она обезвреживается еще до того, как происходит ее экскреция в желчь, и выводится из организма с калом. Период полураспада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составляет от 3,5 до 5,8 дня.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Показания к применению</w:t>
      </w:r>
    </w:p>
    <w:p w:rsidR="00E710BB" w:rsidRPr="00E710BB" w:rsidRDefault="00E710BB" w:rsidP="00E710BB">
      <w:pPr>
        <w:widowControl/>
        <w:tabs>
          <w:tab w:val="left" w:pos="160"/>
        </w:tabs>
        <w:suppressAutoHyphens/>
        <w:autoSpaceDE w:val="0"/>
        <w:autoSpaceDN w:val="0"/>
        <w:adjustRightInd w:val="0"/>
        <w:spacing w:line="120" w:lineRule="atLeast"/>
        <w:ind w:left="360" w:hanging="360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Растворение холестериновых камней желчного пузыря;</w:t>
      </w:r>
    </w:p>
    <w:p w:rsidR="00E710BB" w:rsidRPr="00E710BB" w:rsidRDefault="00E710BB" w:rsidP="00E710BB">
      <w:pPr>
        <w:widowControl/>
        <w:tabs>
          <w:tab w:val="left" w:pos="160"/>
        </w:tabs>
        <w:suppressAutoHyphens/>
        <w:autoSpaceDE w:val="0"/>
        <w:autoSpaceDN w:val="0"/>
        <w:adjustRightInd w:val="0"/>
        <w:spacing w:line="120" w:lineRule="atLeast"/>
        <w:ind w:left="360" w:hanging="360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Билиарный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рефлюкс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– гастрит;</w:t>
      </w:r>
    </w:p>
    <w:p w:rsidR="00E710BB" w:rsidRPr="00E710BB" w:rsidRDefault="00E710BB" w:rsidP="00E710BB">
      <w:pPr>
        <w:widowControl/>
        <w:tabs>
          <w:tab w:val="left" w:pos="160"/>
        </w:tabs>
        <w:suppressAutoHyphens/>
        <w:autoSpaceDE w:val="0"/>
        <w:autoSpaceDN w:val="0"/>
        <w:adjustRightInd w:val="0"/>
        <w:spacing w:line="120" w:lineRule="atLeast"/>
        <w:ind w:left="360" w:hanging="360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Первичный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билиарный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цирроз при отсутствии признаков декомпенсации;</w:t>
      </w:r>
    </w:p>
    <w:p w:rsidR="00E710BB" w:rsidRPr="00E710BB" w:rsidRDefault="00E710BB" w:rsidP="00E710BB">
      <w:pPr>
        <w:widowControl/>
        <w:tabs>
          <w:tab w:val="left" w:pos="160"/>
        </w:tabs>
        <w:suppressAutoHyphens/>
        <w:autoSpaceDE w:val="0"/>
        <w:autoSpaceDN w:val="0"/>
        <w:adjustRightInd w:val="0"/>
        <w:spacing w:line="120" w:lineRule="atLeast"/>
        <w:ind w:left="360" w:hanging="360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Хронические гепатиты различного генеза;</w:t>
      </w:r>
    </w:p>
    <w:p w:rsidR="00E710BB" w:rsidRPr="00E710BB" w:rsidRDefault="00E710BB" w:rsidP="00E710BB">
      <w:pPr>
        <w:widowControl/>
        <w:tabs>
          <w:tab w:val="left" w:pos="160"/>
        </w:tabs>
        <w:suppressAutoHyphens/>
        <w:autoSpaceDE w:val="0"/>
        <w:autoSpaceDN w:val="0"/>
        <w:adjustRightInd w:val="0"/>
        <w:spacing w:line="120" w:lineRule="atLeast"/>
        <w:ind w:left="360" w:hanging="360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Первичный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склерозирующий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холангит;</w:t>
      </w:r>
    </w:p>
    <w:p w:rsidR="00E710BB" w:rsidRPr="00E710BB" w:rsidRDefault="00E710BB" w:rsidP="00E710BB">
      <w:pPr>
        <w:widowControl/>
        <w:tabs>
          <w:tab w:val="left" w:pos="160"/>
        </w:tabs>
        <w:suppressAutoHyphens/>
        <w:autoSpaceDE w:val="0"/>
        <w:autoSpaceDN w:val="0"/>
        <w:adjustRightInd w:val="0"/>
        <w:spacing w:line="120" w:lineRule="atLeast"/>
        <w:ind w:left="360" w:hanging="360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Муковисцидоз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(в составе комплексной терапии);</w:t>
      </w:r>
    </w:p>
    <w:p w:rsidR="00E710BB" w:rsidRPr="00E710BB" w:rsidRDefault="00E710BB" w:rsidP="00E710BB">
      <w:pPr>
        <w:widowControl/>
        <w:tabs>
          <w:tab w:val="left" w:pos="160"/>
        </w:tabs>
        <w:suppressAutoHyphens/>
        <w:autoSpaceDE w:val="0"/>
        <w:autoSpaceDN w:val="0"/>
        <w:adjustRightInd w:val="0"/>
        <w:spacing w:line="120" w:lineRule="atLeast"/>
        <w:ind w:left="360" w:hanging="360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Неалкогольный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стеатогепатит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;</w:t>
      </w:r>
    </w:p>
    <w:p w:rsidR="00E710BB" w:rsidRPr="00E710BB" w:rsidRDefault="00E710BB" w:rsidP="00E710BB">
      <w:pPr>
        <w:widowControl/>
        <w:tabs>
          <w:tab w:val="left" w:pos="160"/>
        </w:tabs>
        <w:suppressAutoHyphens/>
        <w:autoSpaceDE w:val="0"/>
        <w:autoSpaceDN w:val="0"/>
        <w:adjustRightInd w:val="0"/>
        <w:spacing w:line="120" w:lineRule="atLeast"/>
        <w:ind w:left="360" w:hanging="360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Алкогольная болезнь печени;</w:t>
      </w:r>
    </w:p>
    <w:p w:rsidR="00E710BB" w:rsidRPr="00E710BB" w:rsidRDefault="00E710BB" w:rsidP="00E710BB">
      <w:pPr>
        <w:widowControl/>
        <w:tabs>
          <w:tab w:val="left" w:pos="160"/>
        </w:tabs>
        <w:suppressAutoHyphens/>
        <w:autoSpaceDE w:val="0"/>
        <w:autoSpaceDN w:val="0"/>
        <w:adjustRightInd w:val="0"/>
        <w:spacing w:line="120" w:lineRule="atLeast"/>
        <w:ind w:left="360" w:hanging="360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Дискинезия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желчевыводящих путей.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Противопоказания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Рентгеноположительные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(с высоким содержанием кальция) желчные камни; нарушение сократительной способности желчного пузыря, закупорка желчных путей (закупорка общего желчного протока или пузырного протока), частые эпизоды желчной колики; острые воспалительные заболевания желчного пузыря и желчных протоков; цирроз печени в стадии декомпенсации; выраженная печеночная и/или почечная недостаточность, повышенная чувствительность к компонентам препарата или другим желчным кислотам.</w:t>
      </w:r>
      <w:proofErr w:type="gramEnd"/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u w:val="thick"/>
          <w:lang w:bidi="ar-SA"/>
        </w:rPr>
        <w:t>Педиатрическая популяция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Неудачно </w:t>
      </w: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выполненная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портоэнтеростомия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или случаи отсутствия восстановления нормального потока желчи у детей с атрезией желчевыводящих путей. 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не имеет возрастных ограничений в применении, но детям в возрасте до 3 лет, рекомендуется применять препараты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кислоты, выпускаемые в форме суспензии, так как могут возникнуть затруднения при проглатывании капсул.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Применение при беременности и в период грудного вскармливания, влияние на фертильность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По данным исследований на животных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не оказывает влияния на фертильность. Данные о влиянии лечения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кислотой на фертильность у человека отсутствуют. Данные об использовании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lastRenderedPageBreak/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у беременных женщин носят ограниченный характер или отсутствуют. Исследования на животных показали наличие репродуктивной токсичности на ранней стадии беременности. Во время беременности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использоваться не </w:t>
      </w: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должен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, за исключением случаев, когда это явно необходимо. Применение препарата женщинами, обладающими детородным потенциалом, возможно только, если они используют надежные методы контрацепции. Рекомендуется использовать </w:t>
      </w: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негормональные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контрацептивы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или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пероральные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контрацептивы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с низким содержанием эстрогена. </w:t>
      </w: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Однако пациентам, принимающим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для растворения камней в желчном пузыре, следует использовать эффективные негормональные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контрацептивы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, так как гормональные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пероральные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контрацептивы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могут повышать образование желчных камней.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Возможность беременности должна быть исключена до начала лечения.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Согласно данным нескольких документально подтвержденных случаев, уровень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в грудном молоке у женщин очень низок, и поэтому возникновение побочных реакций у детей при грудном вскармливании не ожидается.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Способ применения и дозы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Внутрь. При затрудненном глотании капсулу можно раскрыть и принимать ее содержимое, запивая достаточным количеством жидкости.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Растворение холестериновых желчных камней: 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Рекомендуемая доза составляет 10 мг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на 1 кг массы тела в сутки, что соответствует: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57"/>
      </w:tblGrid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4165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Масса тела</w:t>
            </w:r>
          </w:p>
        </w:tc>
        <w:tc>
          <w:tcPr>
            <w:tcW w:w="515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Капсул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4165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До 60 кг</w:t>
            </w:r>
          </w:p>
        </w:tc>
        <w:tc>
          <w:tcPr>
            <w:tcW w:w="515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4165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61 - 80 кг</w:t>
            </w:r>
          </w:p>
        </w:tc>
        <w:tc>
          <w:tcPr>
            <w:tcW w:w="515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"/>
        </w:trPr>
        <w:tc>
          <w:tcPr>
            <w:tcW w:w="4165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81 - 100 кг</w:t>
            </w:r>
          </w:p>
        </w:tc>
        <w:tc>
          <w:tcPr>
            <w:tcW w:w="515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4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4165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Свыше 100 кг</w:t>
            </w:r>
          </w:p>
        </w:tc>
        <w:tc>
          <w:tcPr>
            <w:tcW w:w="515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5</w:t>
            </w:r>
          </w:p>
        </w:tc>
      </w:tr>
    </w:tbl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br/>
        <w:t>Препарат необходимо принимать ежедневно вечером, перед сном (капсулы не разжевывают), запивая небольшим количеством жидкости.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Длительность лечения 6-12 месяцев. Для профилактики повторного образования камней рекомендуется прием препарата в течение нескольких месяцев после растворения камней.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i/>
          <w:i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Лечение </w:t>
      </w: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билиарного</w:t>
      </w:r>
      <w:proofErr w:type="spellEnd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</w:t>
      </w: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рефлюкс-гастрита</w:t>
      </w:r>
      <w:proofErr w:type="spellEnd"/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1 капсула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ежедневно вечером перед сном, запивая небольшим количеством воды.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Курс лечения от 10-14 дней до 6 месяцев, при необходимости - до 2 лет.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Лечение первичного </w:t>
      </w: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билиарного</w:t>
      </w:r>
      <w:proofErr w:type="spellEnd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цирроза 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Суточная доза зависит от массы тела и составляет от 3 до 7 капсул (примерно 14 ± 2 мг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на 1 кг массы тела).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В первые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3 месяца лечения прием препарата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капсулы 250 мг следует разделить на несколько приемов в течение дня. После улучшения печеночных показателей суточную дозу препарата можно принимать один раз вечером. 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Рекомендуется следующий режим применения: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2"/>
        <w:gridCol w:w="1372"/>
        <w:gridCol w:w="1338"/>
        <w:gridCol w:w="2370"/>
        <w:gridCol w:w="1520"/>
      </w:tblGrid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2722" w:type="dxa"/>
            <w:vMerge w:val="restart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 xml:space="preserve"> Масса тела</w:t>
            </w:r>
          </w:p>
        </w:tc>
        <w:tc>
          <w:tcPr>
            <w:tcW w:w="6600" w:type="dxa"/>
            <w:gridSpan w:val="4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proofErr w:type="spellStart"/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Урсолив</w:t>
            </w:r>
            <w:proofErr w:type="spellEnd"/>
            <w:r w:rsidRPr="00E710BB">
              <w:rPr>
                <w:rFonts w:ascii="Arial" w:hAnsi="Arial" w:cs="Arial"/>
                <w:color w:val="000091"/>
                <w:sz w:val="16"/>
                <w:szCs w:val="16"/>
                <w:vertAlign w:val="superscript"/>
                <w:lang w:bidi="ar-SA"/>
              </w:rPr>
              <w:t>®</w:t>
            </w: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 xml:space="preserve"> капсулы 250 мг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722" w:type="dxa"/>
            <w:vMerge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</w:tcPr>
          <w:p w:rsidR="00E710BB" w:rsidRPr="00E710BB" w:rsidRDefault="00E710BB" w:rsidP="00E710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Первые 3 месяца лечения</w:t>
            </w:r>
          </w:p>
        </w:tc>
        <w:tc>
          <w:tcPr>
            <w:tcW w:w="152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Впоследствии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722" w:type="dxa"/>
            <w:vMerge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</w:tcPr>
          <w:p w:rsidR="00E710BB" w:rsidRPr="00E710BB" w:rsidRDefault="00E710BB" w:rsidP="00E710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Утро</w:t>
            </w:r>
          </w:p>
        </w:tc>
        <w:tc>
          <w:tcPr>
            <w:tcW w:w="133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День</w:t>
            </w:r>
          </w:p>
        </w:tc>
        <w:tc>
          <w:tcPr>
            <w:tcW w:w="237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Вечер</w:t>
            </w:r>
          </w:p>
        </w:tc>
        <w:tc>
          <w:tcPr>
            <w:tcW w:w="152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Вечер</w:t>
            </w:r>
          </w:p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 xml:space="preserve"> (1 раз в день)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72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47 - 62 кг</w:t>
            </w:r>
          </w:p>
        </w:tc>
        <w:tc>
          <w:tcPr>
            <w:tcW w:w="137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 xml:space="preserve">3 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272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63 - 78 кг</w:t>
            </w:r>
          </w:p>
        </w:tc>
        <w:tc>
          <w:tcPr>
            <w:tcW w:w="137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 xml:space="preserve">4 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272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79 - 93 кг</w:t>
            </w:r>
          </w:p>
        </w:tc>
        <w:tc>
          <w:tcPr>
            <w:tcW w:w="137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 xml:space="preserve">5 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272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94 - 109 кг</w:t>
            </w:r>
          </w:p>
        </w:tc>
        <w:tc>
          <w:tcPr>
            <w:tcW w:w="137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 xml:space="preserve">6 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272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Свыше 110 кг</w:t>
            </w:r>
          </w:p>
        </w:tc>
        <w:tc>
          <w:tcPr>
            <w:tcW w:w="137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 xml:space="preserve">7 </w:t>
            </w:r>
          </w:p>
        </w:tc>
      </w:tr>
    </w:tbl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br/>
        <w:t>Капсулы следует принимать регулярно, не разжевывая, запивая небольшим количеством жидкости.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Применение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для лечения первичного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билиарного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цирроза может быть продолжено в течение неограниченного времени.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У пациентов с первичным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билиарным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циррозом в редких случаях клинические симптомы могут ухудшиться в начале лечения, например, может участиться зуд. В этом случае лечение следует продолжить, принимая по одной капсуле ежедневно, далее следует постепенно повышать дозировку, увеличивая суточную дозу еженедельно на одну капсулу, до тех пор, пока вновь не </w:t>
      </w: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будет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достигнут рекомендованный режим дозирования.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Симптоматическое лечение хронических гепатитов различного генеза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- суточная доза 10-15 мг/кг в 2-3 приема. Длительность лечения - 6-12 месяцев и более.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Первичный </w:t>
      </w: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склерозирующий</w:t>
      </w:r>
      <w:proofErr w:type="spellEnd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холангит -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суточная доза 12-15 мг/кг; при необходимости доза может быть увеличена до 20-30 мг/кг в 2-3 приема. Длительность терапии составляет от 6 месяцев до нескольких лет (смотри раздел «Особые указания»).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Муковисцидоз</w:t>
      </w:r>
      <w:proofErr w:type="spellEnd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(кистозный фиброз) -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суточная доза 20 мг/кг/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сут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в 2-3 приема, с дальнейшим увеличением до 30 мг/кг/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сут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при необходимости.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Рекомендуется следующий режим применения: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7"/>
        <w:gridCol w:w="2392"/>
        <w:gridCol w:w="1418"/>
        <w:gridCol w:w="1207"/>
        <w:gridCol w:w="1118"/>
      </w:tblGrid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187" w:type="dxa"/>
            <w:vMerge w:val="restart"/>
            <w:tcBorders>
              <w:top w:val="single" w:sz="4" w:space="0" w:color="000091"/>
              <w:left w:val="single" w:sz="4" w:space="0" w:color="000091"/>
              <w:bottom w:val="nil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Масса тела (</w:t>
            </w:r>
            <w:proofErr w:type="gramStart"/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кг</w:t>
            </w:r>
            <w:proofErr w:type="gramEnd"/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)</w:t>
            </w:r>
          </w:p>
        </w:tc>
        <w:tc>
          <w:tcPr>
            <w:tcW w:w="2392" w:type="dxa"/>
            <w:vMerge w:val="restart"/>
            <w:tcBorders>
              <w:top w:val="single" w:sz="4" w:space="0" w:color="000091"/>
              <w:left w:val="single" w:sz="4" w:space="0" w:color="000091"/>
              <w:bottom w:val="nil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 xml:space="preserve">Суточная доза </w:t>
            </w:r>
          </w:p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(мг/кг массы тела)</w:t>
            </w:r>
          </w:p>
        </w:tc>
        <w:tc>
          <w:tcPr>
            <w:tcW w:w="3743" w:type="dxa"/>
            <w:gridSpan w:val="3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</w:pPr>
            <w:proofErr w:type="spellStart"/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Урсолив</w:t>
            </w:r>
            <w:proofErr w:type="spellEnd"/>
            <w:r w:rsidRPr="00E710BB">
              <w:rPr>
                <w:rFonts w:ascii="Arial" w:hAnsi="Arial" w:cs="Arial"/>
                <w:color w:val="000091"/>
                <w:sz w:val="16"/>
                <w:szCs w:val="16"/>
                <w:vertAlign w:val="superscript"/>
                <w:lang w:bidi="ar-SA"/>
              </w:rPr>
              <w:t>®</w:t>
            </w: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 xml:space="preserve"> капсулы </w:t>
            </w:r>
          </w:p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250 мг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3187" w:type="dxa"/>
            <w:vMerge/>
            <w:tcBorders>
              <w:top w:val="nil"/>
              <w:left w:val="single" w:sz="4" w:space="0" w:color="000091"/>
              <w:bottom w:val="single" w:sz="4" w:space="0" w:color="000091"/>
              <w:right w:val="single" w:sz="4" w:space="0" w:color="000091"/>
            </w:tcBorders>
          </w:tcPr>
          <w:p w:rsidR="00E710BB" w:rsidRPr="00E710BB" w:rsidRDefault="00E710BB" w:rsidP="00E710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91"/>
              <w:bottom w:val="single" w:sz="4" w:space="0" w:color="000091"/>
              <w:right w:val="single" w:sz="4" w:space="0" w:color="000091"/>
            </w:tcBorders>
          </w:tcPr>
          <w:p w:rsidR="00E710BB" w:rsidRPr="00E710BB" w:rsidRDefault="00E710BB" w:rsidP="00E710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Утро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День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b/>
                <w:bCs/>
                <w:color w:val="000091"/>
                <w:sz w:val="16"/>
                <w:szCs w:val="16"/>
                <w:lang w:bidi="ar-SA"/>
              </w:rPr>
              <w:t>Вечер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20-29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17-25</w:t>
            </w: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30-39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19-25</w:t>
            </w: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40-49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50-59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21-25</w:t>
            </w: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60-69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22-25</w:t>
            </w: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70-79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22-25</w:t>
            </w: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80-89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22-25</w:t>
            </w: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90-99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23-25</w:t>
            </w: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100-109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23-25</w:t>
            </w: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4</w:t>
            </w:r>
          </w:p>
        </w:tc>
      </w:tr>
      <w:tr w:rsidR="00E710BB" w:rsidRPr="00E71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"/>
        </w:trPr>
        <w:tc>
          <w:tcPr>
            <w:tcW w:w="318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&gt;110</w:t>
            </w:r>
          </w:p>
        </w:tc>
        <w:tc>
          <w:tcPr>
            <w:tcW w:w="2392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0BB" w:rsidRPr="00E710BB" w:rsidRDefault="00E710BB" w:rsidP="00E710BB">
            <w:pPr>
              <w:widowControl/>
              <w:suppressAutoHyphens/>
              <w:autoSpaceDE w:val="0"/>
              <w:autoSpaceDN w:val="0"/>
              <w:adjustRightInd w:val="0"/>
              <w:spacing w:line="120" w:lineRule="atLeast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E710BB">
              <w:rPr>
                <w:rFonts w:ascii="Arial" w:hAnsi="Arial" w:cs="Arial"/>
                <w:color w:val="000091"/>
                <w:sz w:val="16"/>
                <w:szCs w:val="16"/>
                <w:lang w:bidi="ar-SA"/>
              </w:rPr>
              <w:t>4</w:t>
            </w:r>
          </w:p>
        </w:tc>
      </w:tr>
    </w:tbl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pacing w:val="-4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pacing w:val="-4"/>
          <w:sz w:val="16"/>
          <w:szCs w:val="16"/>
          <w:lang w:bidi="ar-SA"/>
        </w:rPr>
        <w:br/>
        <w:t xml:space="preserve">Неалкогольный </w:t>
      </w:r>
      <w:proofErr w:type="spellStart"/>
      <w:r w:rsidRPr="00E710BB">
        <w:rPr>
          <w:rFonts w:ascii="Arial" w:hAnsi="Arial" w:cs="Arial"/>
          <w:i/>
          <w:iCs/>
          <w:color w:val="000091"/>
          <w:spacing w:val="-4"/>
          <w:sz w:val="16"/>
          <w:szCs w:val="16"/>
          <w:lang w:bidi="ar-SA"/>
        </w:rPr>
        <w:t>стеатогепатит</w:t>
      </w:r>
      <w:proofErr w:type="spellEnd"/>
      <w:r w:rsidRPr="00E710BB">
        <w:rPr>
          <w:rFonts w:ascii="Arial" w:hAnsi="Arial" w:cs="Arial"/>
          <w:i/>
          <w:iCs/>
          <w:color w:val="000091"/>
          <w:spacing w:val="-4"/>
          <w:sz w:val="16"/>
          <w:szCs w:val="16"/>
          <w:lang w:bidi="ar-SA"/>
        </w:rPr>
        <w:t xml:space="preserve"> - </w:t>
      </w:r>
      <w:r w:rsidRPr="00E710BB">
        <w:rPr>
          <w:rFonts w:ascii="Arial" w:hAnsi="Arial" w:cs="Arial"/>
          <w:color w:val="000091"/>
          <w:spacing w:val="-4"/>
          <w:sz w:val="16"/>
          <w:szCs w:val="16"/>
          <w:lang w:bidi="ar-SA"/>
        </w:rPr>
        <w:t xml:space="preserve">средняя суточная доза 10-15 мг/кг в 2-3 приема. Длительность терапии составляет от 6-12 месяцев и более. 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pacing w:val="-3"/>
          <w:sz w:val="16"/>
          <w:szCs w:val="16"/>
          <w:lang w:bidi="ar-SA"/>
        </w:rPr>
        <w:t xml:space="preserve">Алкогольная болезнь печени - </w:t>
      </w:r>
      <w:r w:rsidRPr="00E710BB">
        <w:rPr>
          <w:rFonts w:ascii="Arial" w:hAnsi="Arial" w:cs="Arial"/>
          <w:color w:val="000091"/>
          <w:spacing w:val="-3"/>
          <w:sz w:val="16"/>
          <w:szCs w:val="16"/>
          <w:lang w:bidi="ar-SA"/>
        </w:rPr>
        <w:t>средняя суточная доза 10-15 мг/кг в 2-3 приема.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Длительность терапии составляет от 6-12 месяцев и более.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lastRenderedPageBreak/>
        <w:t>Дискинезия</w:t>
      </w:r>
      <w:proofErr w:type="spellEnd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желчевыводящих путей -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средняя суточная доза 10 мг/кг в 2 приема в течение от 2 недель до 2 месяцев. При необходимости курс лечения рекомендуется повторить.</w:t>
      </w: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</w:t>
      </w:r>
      <w:r w:rsidRPr="00E710BB">
        <w:rPr>
          <w:rFonts w:ascii="Arial" w:hAnsi="Arial" w:cs="Arial"/>
          <w:i/>
          <w:iCs/>
          <w:color w:val="000091"/>
          <w:spacing w:val="-4"/>
          <w:sz w:val="16"/>
          <w:szCs w:val="16"/>
          <w:lang w:bidi="ar-SA"/>
        </w:rPr>
        <w:t xml:space="preserve"> </w:t>
      </w:r>
      <w:r w:rsidRPr="00E710BB">
        <w:rPr>
          <w:rFonts w:ascii="Arial" w:hAnsi="Arial" w:cs="Arial"/>
          <w:i/>
          <w:iCs/>
          <w:color w:val="000091"/>
          <w:spacing w:val="-4"/>
          <w:sz w:val="16"/>
          <w:szCs w:val="16"/>
          <w:lang w:bidi="ar-SA"/>
        </w:rPr>
        <w:br/>
      </w: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Побочное действие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Оценка нежелательных явлений основана на следующей классификации: очень частые (&gt; 1/10); частые (&gt; 1/100 - &lt; 1/10); нечастые (&gt; 1/1000 - &lt; 1/100); редкие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br/>
        <w:t>(&gt; 1/10000 - &lt; 1/1000); очень редкие (&lt; 1/10000).</w:t>
      </w:r>
      <w:proofErr w:type="gramEnd"/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i/>
          <w:i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Нарушения со стороны желудочно-кишечного тракта: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В клинических исследованиях на фоне лечения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кислотой частыми были неоформленный стул или диарея.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При лечении первичного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билиарного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цирроза очень редко наблюдались острые боли в правой верхней части живота.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i/>
          <w:i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Нарушения со стороны печени и желчевыводящих путей: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В очень редких случаях на фоне лечения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кислотой может произойти кальцинирование желчных камней.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При лечении развитых стадий первичного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билиарного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цирроза в очень редких случаях наблюдалась декомпенсация цирроза печени, которая исчезает после отмены препарата.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i/>
          <w:i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Нарушения со стороны кожи и подкожных тканей: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В очень редких случаях могут наблюдаться аллергические реакции, в том числе крапивница.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Если любые из указанных в инструкции побочных эффектов усугубляются, или Вы заметили другие побочные эффекты, не указанные в инструкции, пожалуйста, </w:t>
      </w: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сообщите об этом врачу.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Передозировка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При передозировке возможна диарея. Как правило, другие симптомы передозировки маловероятны, поскольку с увеличением дозы поглощение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уменьшается и, соответственно, большее ее количество выделяется с фекалиями. Необходимости в применении специфических мер при передозировке нет. Лечение последствий диареи симптоматическое, направленное на восполнение объема жидкости и восстановление электролитного баланса.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Взаимодействие с другими лекарственными средствами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Колестирамин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,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колестипол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и антациды, содержащие алюминия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гидроксид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или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смектит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(алюминия оксид), снижают абсорбцию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в кишечнике и таким образом уменьшают ее поглощение и эффективность. Если же использование препаратов, содержащих хотя бы одно из этих веществ, все же является необходимым, их нужно принимать минимум за 2 часа до приема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может влиять на поглощение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циклоспорина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из кишечника. Поэтому у больных, принимающих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циклоспорин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, врач должен проверить концентрацию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циклоспорина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в крови и скорректировать дозу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циклоспорина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в случае необходимости.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В отдельных случаях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может снижать всасывание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ципрофлоксацина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В клиническом исследовании с участием здоровых добровольцев одновременное применение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(500 мг/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сут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) 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розувастатина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br/>
        <w:t>(20 мг/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сут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) приводило к небольшому повышению уровня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розувастатина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в плазме крови. Клиническая значимость этого </w:t>
      </w: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взаимодействия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в том числе в отношении других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статинов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неизвестна.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Было показано, что у здоровых добровольцев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снижает пиковые концентрации в плазме (</w:t>
      </w: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vertAlign w:val="subscript"/>
          <w:lang w:val="en-US" w:bidi="ar-SA"/>
        </w:rPr>
        <w:t>max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) и площадь под кривой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br/>
        <w:t xml:space="preserve">«концентрация - время» (AUC)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блокатора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медленных кальциевых каналов -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нитрендипина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. В случае одновременного применения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нитрендипина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рекомендуется тщательный мониторинг. Может потребоваться увеличение дозы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нитрендипина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. Имеются также сообщения о взаимодействии с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дапсоном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, которое приводило к уменьшению терапевтического эффекта последнего. Эти наблюдения, наряду с данными экспериментов </w:t>
      </w: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in</w:t>
      </w:r>
      <w:proofErr w:type="spellEnd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</w:t>
      </w: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vitro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, дают основания полагать, что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способна индуцировать ферменты системы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цитохрома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Р450 3А. Однако в спланированном исследовании взаимодействия с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будесонидом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, </w:t>
      </w: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который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является известным субстратом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цитохрома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Р450 3А, индукция отмечена не была.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Эстрогенные гормоны и препараты, снижающие уровень холестерина в крови, такие как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клофибрат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, увеличивают секрецию холестерина в печени и, следовательно, могут стимулировать образование желчных камней, что нивелирует эффект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кислоты, которая используется для растворения камней в желчном пузыре. 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Особые указания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Прием препарата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должен осуществляться под наблюдением врача.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В течение первых трех месяцев лечения следует контролировать функциональные показатели печени: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трансаминазы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, щелочную фосфатазу 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гамма-глютамилтранспептидазу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в сыворотке крови каждые 4 недели, а затем каждые 3 месяца. Контроль указанных параметров позволяет выявить нарушения функции печени на ранних стадиях. Также это касается пациентов на поздних стадиях первичного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билиарного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цирроза. Кроме того, так можно быстро определить, реагирует ли пациент с первичным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билиарным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циррозом на проводимое лечение.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i/>
          <w:i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При применении для растворения холестериновых желчных камней: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Для того чтобы оценить прогресс в лечении и для своевременного выявления признаков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кальциноза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камней в зависимости от размера камней, желчный пузырь следует визуализировать (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пероральная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холецистография) с осмотром затемнений в положении стоя и лежа на спине (ультразвуковое исследование) через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br/>
        <w:t xml:space="preserve">6-10 месяцев после начала лечения. 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Если желчный пузырь невозможно визуализировать на рентгеновских снимках или в случаях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кальциноза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камней, слабой сократимости желчного пузыря или частых приступов колик, препарат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применять не следует.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Пациенткам, принимающим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Урсолив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vertAlign w:val="superscript"/>
          <w:lang w:bidi="ar-SA"/>
        </w:rPr>
        <w:t>®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для растворения желчных камней, необходимо использовать эффективные негормональные методы контрацепции, так как гормональные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контрацептивы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могут увеличивать образование желчных камней (</w:t>
      </w: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см</w:t>
      </w:r>
      <w:proofErr w:type="gram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. разделы «Взаимодействие с другими лекарственными средствами» и «Применение при беременности и в период грудного вскармливания, влияние на фертильность»).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При лечении пациентов на поздних стадиях первичного </w:t>
      </w: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билиарного</w:t>
      </w:r>
      <w:proofErr w:type="spellEnd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цирроза: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Крайне редко отмечались случаи декомпенсации цирроза печени. После прекращения терапии отмечалось частичное обратное развитие проявлений декомпенсации.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У пациентов с первичным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билиарным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циррозом в редких случаях в начале лечения возможно усиление клинических симптомов, например, может усилиться зуд. В этом случае дозу препарата необходимо снизить, а затем постепенно вновь увеличивать, как описано в разделе «Способ применения и дозы».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При применении у пациентов с первичным </w:t>
      </w:r>
      <w:proofErr w:type="spellStart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>склерозирующим</w:t>
      </w:r>
      <w:proofErr w:type="spellEnd"/>
      <w:r w:rsidRPr="00E710BB">
        <w:rPr>
          <w:rFonts w:ascii="Arial" w:hAnsi="Arial" w:cs="Arial"/>
          <w:i/>
          <w:iCs/>
          <w:color w:val="000091"/>
          <w:sz w:val="16"/>
          <w:szCs w:val="16"/>
          <w:lang w:bidi="ar-SA"/>
        </w:rPr>
        <w:t xml:space="preserve"> холангитом: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</w:t>
      </w:r>
      <w:r w:rsidRPr="00E710BB">
        <w:rPr>
          <w:rFonts w:ascii="Arial" w:hAnsi="Arial" w:cs="Arial"/>
          <w:color w:val="000091"/>
          <w:sz w:val="16"/>
          <w:szCs w:val="16"/>
          <w:lang w:bidi="ar-SA"/>
        </w:rPr>
        <w:br/>
        <w:t xml:space="preserve">Длительная терапия высокими дозами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урсодезоксихолевой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кислоты (28-30 мг/кг/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сут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) у пациентов с данной патологией может вызвать серьезные побочные явления.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У пациентов с диареей следует уменьшить дозировку препарата. При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персистирующей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диарее следует прекратить лечение.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Влияние на способность управлять транспортными средствами, механизмами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Урсодезоксихолевая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кислота не оказывает влияния на способность управлять транспортными средствами и механизмами или же это влияние минимальное.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lastRenderedPageBreak/>
        <w:t>Форма выпуска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u w:val="thick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u w:val="thick"/>
          <w:lang w:bidi="ar-SA"/>
        </w:rPr>
        <w:t>Капсулы 250 мг.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По 10 капсул в контурную ячейковую упаковку из пленки поливинилхлоридной и фольги алюминиевой печатной лакированной.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По 1, 2, 3, 5 или 10 контурных ячейковых упаковок вместе с инструкцией по применению помещают в пачку из картона.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Условия хранения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Хранить в оригинальной упаковке (пачке) при температуре не выше 25 °С.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Хранить в недоступном для детей месте.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Срок годности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4 года.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Не применять по истечении срока годности, указанного на упаковке.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Условия отпуска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Отпускают по рецепту.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Производитель: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АО «АВВА РУС», Россия, 610044, Кировская обл., г. Киров, ул. Луганская, д. 53А. </w:t>
      </w:r>
      <w:proofErr w:type="gramEnd"/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Тел.: +7 (8332) 25-12-29; +7 (495) 956-75-54.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b/>
          <w:bCs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b/>
          <w:bCs/>
          <w:color w:val="000091"/>
          <w:sz w:val="16"/>
          <w:szCs w:val="16"/>
          <w:lang w:bidi="ar-SA"/>
        </w:rPr>
        <w:t>Владелец регистрационного удостоверения/организация, принимающая претензии потребителя:</w:t>
      </w:r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proofErr w:type="gram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АО «АВВА РУС», Россия, 121614, г. Москва, ул. 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Крылатские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 xml:space="preserve"> Холмы, д. 30, корп. 9</w:t>
      </w:r>
      <w:proofErr w:type="gramEnd"/>
    </w:p>
    <w:p w:rsidR="00E710BB" w:rsidRPr="00E710BB" w:rsidRDefault="00E710BB" w:rsidP="00E710BB">
      <w:pPr>
        <w:widowControl/>
        <w:suppressAutoHyphens/>
        <w:autoSpaceDE w:val="0"/>
        <w:autoSpaceDN w:val="0"/>
        <w:adjustRightInd w:val="0"/>
        <w:spacing w:line="120" w:lineRule="atLeast"/>
        <w:textAlignment w:val="center"/>
        <w:rPr>
          <w:rFonts w:ascii="Arial" w:hAnsi="Arial" w:cs="Arial"/>
          <w:color w:val="000091"/>
          <w:sz w:val="16"/>
          <w:szCs w:val="16"/>
          <w:lang w:bidi="ar-SA"/>
        </w:rPr>
      </w:pPr>
      <w:r w:rsidRPr="00E710BB">
        <w:rPr>
          <w:rFonts w:ascii="Arial" w:hAnsi="Arial" w:cs="Arial"/>
          <w:color w:val="000091"/>
          <w:sz w:val="16"/>
          <w:szCs w:val="16"/>
          <w:lang w:bidi="ar-SA"/>
        </w:rPr>
        <w:t>Тел.: +7 (495) 956-75-54</w:t>
      </w:r>
    </w:p>
    <w:p w:rsidR="002520CD" w:rsidRPr="00E710BB" w:rsidRDefault="00E710BB" w:rsidP="00E710BB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E710BB">
        <w:rPr>
          <w:rFonts w:ascii="Arial" w:hAnsi="Arial" w:cs="Arial"/>
          <w:color w:val="000091"/>
          <w:sz w:val="16"/>
          <w:szCs w:val="16"/>
          <w:lang w:val="en-US" w:bidi="ar-SA"/>
        </w:rPr>
        <w:t>avva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-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val="en-US" w:bidi="ar-SA"/>
        </w:rPr>
        <w:t>rus</w:t>
      </w:r>
      <w:proofErr w:type="spellEnd"/>
      <w:r w:rsidRPr="00E710BB">
        <w:rPr>
          <w:rFonts w:ascii="Arial" w:hAnsi="Arial" w:cs="Arial"/>
          <w:color w:val="000091"/>
          <w:sz w:val="16"/>
          <w:szCs w:val="16"/>
          <w:lang w:bidi="ar-SA"/>
        </w:rPr>
        <w:t>.</w:t>
      </w:r>
      <w:proofErr w:type="spellStart"/>
      <w:r w:rsidRPr="00E710BB">
        <w:rPr>
          <w:rFonts w:ascii="Arial" w:hAnsi="Arial" w:cs="Arial"/>
          <w:color w:val="000091"/>
          <w:sz w:val="16"/>
          <w:szCs w:val="16"/>
          <w:lang w:val="en-US" w:bidi="ar-SA"/>
        </w:rPr>
        <w:t>ru</w:t>
      </w:r>
      <w:proofErr w:type="spellEnd"/>
      <w:proofErr w:type="gramEnd"/>
    </w:p>
    <w:sectPr w:rsidR="002520CD" w:rsidRPr="00E710BB" w:rsidSect="00B35D3D">
      <w:headerReference w:type="default" r:id="rId7"/>
      <w:footerReference w:type="default" r:id="rId8"/>
      <w:pgSz w:w="11900" w:h="16840"/>
      <w:pgMar w:top="936" w:right="867" w:bottom="1236" w:left="15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3D" w:rsidRDefault="00B35D3D" w:rsidP="00B35D3D">
      <w:r>
        <w:separator/>
      </w:r>
    </w:p>
  </w:endnote>
  <w:endnote w:type="continuationSeparator" w:id="0">
    <w:p w:rsidR="00B35D3D" w:rsidRDefault="00B35D3D" w:rsidP="00B3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3D" w:rsidRDefault="00B35D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35pt;margin-top:785.7pt;width:1.7pt;height:6.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35D3D" w:rsidRDefault="00B35D3D">
                <w:pPr>
                  <w:pStyle w:val="20"/>
                  <w:shd w:val="clear" w:color="auto" w:fill="auto"/>
                </w:pPr>
                <w:fldSimple w:instr=" PAGE \* MERGEFORMAT ">
                  <w:r w:rsidR="00E710BB" w:rsidRPr="00E710BB">
                    <w:rPr>
                      <w:noProof/>
                      <w:color w:val="606669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3D" w:rsidRDefault="00B35D3D"/>
  </w:footnote>
  <w:footnote w:type="continuationSeparator" w:id="0">
    <w:p w:rsidR="00B35D3D" w:rsidRDefault="00B35D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3D" w:rsidRDefault="00B35D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8.4pt;margin-top:9.1pt;width:126.25pt;height:10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35D3D" w:rsidRPr="002520CD" w:rsidRDefault="00B35D3D" w:rsidP="002520CD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145"/>
    <w:multiLevelType w:val="multilevel"/>
    <w:tmpl w:val="6E24B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414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35D3D"/>
    <w:rsid w:val="002520CD"/>
    <w:rsid w:val="00B35D3D"/>
    <w:rsid w:val="00E7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D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5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4147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B35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4147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B35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35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4147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B35D3D"/>
    <w:pPr>
      <w:shd w:val="clear" w:color="auto" w:fill="FFFFFF"/>
      <w:spacing w:line="389" w:lineRule="auto"/>
    </w:pPr>
    <w:rPr>
      <w:rFonts w:ascii="Times New Roman" w:eastAsia="Times New Roman" w:hAnsi="Times New Roman" w:cs="Times New Roman"/>
      <w:color w:val="344147"/>
      <w:sz w:val="26"/>
      <w:szCs w:val="26"/>
    </w:rPr>
  </w:style>
  <w:style w:type="paragraph" w:customStyle="1" w:styleId="a5">
    <w:name w:val="Подпись к картинке"/>
    <w:basedOn w:val="a"/>
    <w:link w:val="a4"/>
    <w:rsid w:val="00B35D3D"/>
    <w:pPr>
      <w:shd w:val="clear" w:color="auto" w:fill="FFFFFF"/>
    </w:pPr>
    <w:rPr>
      <w:rFonts w:ascii="Times New Roman" w:eastAsia="Times New Roman" w:hAnsi="Times New Roman" w:cs="Times New Roman"/>
      <w:color w:val="344147"/>
      <w:sz w:val="26"/>
      <w:szCs w:val="26"/>
    </w:rPr>
  </w:style>
  <w:style w:type="paragraph" w:customStyle="1" w:styleId="20">
    <w:name w:val="Колонтитул (2)"/>
    <w:basedOn w:val="a"/>
    <w:link w:val="2"/>
    <w:rsid w:val="00B35D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35D3D"/>
    <w:pPr>
      <w:shd w:val="clear" w:color="auto" w:fill="FFFFFF"/>
      <w:spacing w:line="389" w:lineRule="auto"/>
      <w:outlineLvl w:val="0"/>
    </w:pPr>
    <w:rPr>
      <w:rFonts w:ascii="Times New Roman" w:eastAsia="Times New Roman" w:hAnsi="Times New Roman" w:cs="Times New Roman"/>
      <w:b/>
      <w:bCs/>
      <w:color w:val="344147"/>
      <w:sz w:val="26"/>
      <w:szCs w:val="26"/>
    </w:rPr>
  </w:style>
  <w:style w:type="paragraph" w:customStyle="1" w:styleId="a6">
    <w:name w:val="[основной абзац]"/>
    <w:basedOn w:val="a"/>
    <w:uiPriority w:val="99"/>
    <w:rsid w:val="002520CD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lang w:val="en-US" w:bidi="ar-SA"/>
    </w:rPr>
  </w:style>
  <w:style w:type="paragraph" w:styleId="a7">
    <w:name w:val="header"/>
    <w:basedOn w:val="a"/>
    <w:link w:val="a8"/>
    <w:uiPriority w:val="99"/>
    <w:semiHidden/>
    <w:unhideWhenUsed/>
    <w:rsid w:val="00252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0C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52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20CD"/>
    <w:rPr>
      <w:color w:val="000000"/>
    </w:rPr>
  </w:style>
  <w:style w:type="paragraph" w:customStyle="1" w:styleId="Mainarticle">
    <w:name w:val="Main article"/>
    <w:basedOn w:val="a"/>
    <w:uiPriority w:val="99"/>
    <w:rsid w:val="002520CD"/>
    <w:pPr>
      <w:widowControl/>
      <w:shd w:val="clear" w:color="auto" w:fill="FFFFFF"/>
      <w:suppressAutoHyphens/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sz w:val="14"/>
      <w:szCs w:val="14"/>
      <w:lang w:bidi="ar-SA"/>
    </w:rPr>
  </w:style>
  <w:style w:type="character" w:customStyle="1" w:styleId="12">
    <w:name w:val="Îñíîâíîé òåêñò Çíàê1"/>
    <w:uiPriority w:val="99"/>
    <w:rsid w:val="002520CD"/>
    <w:rPr>
      <w:rFonts w:ascii="Times New Roman" w:hAnsi="Times New Roman" w:cs="Times New Roman"/>
      <w:color w:val="000000"/>
      <w:w w:val="100"/>
      <w:sz w:val="23"/>
      <w:szCs w:val="23"/>
      <w:u w:val="none"/>
    </w:rPr>
  </w:style>
  <w:style w:type="character" w:customStyle="1" w:styleId="9">
    <w:name w:val="Îñíîâíîé òåêñò + 9"/>
    <w:aliases w:val="5 pt"/>
    <w:basedOn w:val="12"/>
    <w:uiPriority w:val="99"/>
    <w:rsid w:val="002520CD"/>
    <w:rPr>
      <w:sz w:val="19"/>
      <w:szCs w:val="19"/>
    </w:rPr>
  </w:style>
  <w:style w:type="paragraph" w:customStyle="1" w:styleId="ab">
    <w:name w:val="[Без стиля]"/>
    <w:rsid w:val="00E710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US" w:bidi="ar-SA"/>
    </w:rPr>
  </w:style>
  <w:style w:type="character" w:customStyle="1" w:styleId="ac">
    <w:name w:val="Îñíîâíîé òåêñò + Ïîëóæèðíûé"/>
    <w:uiPriority w:val="99"/>
    <w:rsid w:val="00E710B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1">
    <w:name w:val="Îñíîâíîé òåêñò2"/>
    <w:uiPriority w:val="99"/>
    <w:rsid w:val="00E710B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2582</Words>
  <Characters>14719</Characters>
  <Application>Microsoft Office Word</Application>
  <DocSecurity>0</DocSecurity>
  <Lines>122</Lines>
  <Paragraphs>34</Paragraphs>
  <ScaleCrop>false</ScaleCrop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Терещук Данила Андреевич</dc:creator>
  <cp:lastModifiedBy>tereschuk</cp:lastModifiedBy>
  <cp:revision>2</cp:revision>
  <dcterms:created xsi:type="dcterms:W3CDTF">2021-05-13T12:09:00Z</dcterms:created>
  <dcterms:modified xsi:type="dcterms:W3CDTF">2021-05-13T12:09:00Z</dcterms:modified>
</cp:coreProperties>
</file>