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aps/>
          <w:color w:val="302D2A"/>
          <w:sz w:val="17"/>
          <w:szCs w:val="17"/>
        </w:rPr>
      </w:pPr>
      <w:r w:rsidRPr="003B7C56">
        <w:rPr>
          <w:rFonts w:ascii="Arial" w:hAnsi="Arial" w:cs="Arial"/>
          <w:caps/>
          <w:color w:val="302D2A"/>
          <w:sz w:val="17"/>
          <w:szCs w:val="17"/>
        </w:rPr>
        <w:t>ИНСТРУКЦИЯ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302D2A"/>
          <w:sz w:val="16"/>
          <w:szCs w:val="16"/>
        </w:rPr>
      </w:pPr>
      <w:r w:rsidRPr="003B7C56">
        <w:rPr>
          <w:rFonts w:ascii="Arial" w:hAnsi="Arial" w:cs="Arial"/>
          <w:caps/>
          <w:color w:val="302D2A"/>
          <w:sz w:val="17"/>
          <w:szCs w:val="17"/>
        </w:rPr>
        <w:t>по медицинскому применению лекарственного препарата</w:t>
      </w:r>
    </w:p>
    <w:p w:rsidR="00DD28A2" w:rsidRDefault="003B7C56" w:rsidP="003B7C56">
      <w:pPr>
        <w:jc w:val="center"/>
        <w:rPr>
          <w:rFonts w:ascii="Arial" w:hAnsi="Arial" w:cs="Arial"/>
          <w:b/>
          <w:bCs/>
          <w:color w:val="302D2A"/>
          <w:sz w:val="20"/>
          <w:szCs w:val="20"/>
          <w:lang w:val="en-US"/>
        </w:rPr>
      </w:pPr>
      <w:proofErr w:type="spellStart"/>
      <w:r w:rsidRPr="003B7C56">
        <w:rPr>
          <w:rFonts w:ascii="Arial" w:hAnsi="Arial" w:cs="Arial"/>
          <w:b/>
          <w:bCs/>
          <w:color w:val="302D2A"/>
          <w:sz w:val="20"/>
          <w:szCs w:val="20"/>
        </w:rPr>
        <w:t>Викалин</w:t>
      </w:r>
      <w:proofErr w:type="spellEnd"/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 xml:space="preserve">Регистрационный номер: </w:t>
      </w:r>
      <w:r w:rsidRPr="003B7C56">
        <w:rPr>
          <w:rFonts w:ascii="Arial" w:hAnsi="Arial" w:cs="Arial"/>
          <w:color w:val="302D2A"/>
          <w:sz w:val="17"/>
          <w:szCs w:val="17"/>
        </w:rPr>
        <w:t>ЛС-001102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 xml:space="preserve">Торговое название препарата: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Викалин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Международное непатентованное название:</w:t>
      </w:r>
      <w:r w:rsidRPr="003B7C56">
        <w:rPr>
          <w:rFonts w:ascii="Arial" w:hAnsi="Arial" w:cs="Arial"/>
          <w:color w:val="302D2A"/>
          <w:sz w:val="17"/>
          <w:szCs w:val="17"/>
        </w:rPr>
        <w:t xml:space="preserve"> нет 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Химическое название:</w:t>
      </w:r>
      <w:r w:rsidRPr="003B7C56">
        <w:rPr>
          <w:rFonts w:ascii="Arial" w:hAnsi="Arial" w:cs="Arial"/>
          <w:color w:val="302D2A"/>
          <w:sz w:val="17"/>
          <w:szCs w:val="17"/>
        </w:rPr>
        <w:t xml:space="preserve"> нет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Лекарственная форма:</w:t>
      </w:r>
      <w:r w:rsidRPr="003B7C56">
        <w:rPr>
          <w:rFonts w:ascii="Arial" w:hAnsi="Arial" w:cs="Arial"/>
          <w:color w:val="302D2A"/>
          <w:sz w:val="17"/>
          <w:szCs w:val="17"/>
        </w:rPr>
        <w:t xml:space="preserve"> таблетки 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Состав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2955"/>
      </w:tblGrid>
      <w:tr w:rsidR="003B7C56" w:rsidRPr="003B7C56" w:rsidT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0" w:type="dxa"/>
            <w:gridSpan w:val="2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shd w:val="clear" w:color="auto" w:fill="FFFFFF" w:themeFill="background1"/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outline/>
                <w:color w:val="000000"/>
                <w:sz w:val="16"/>
                <w:szCs w:val="16"/>
              </w:rPr>
              <w:t>Действующие вещества: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Висмута нитрат основной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350,0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Магния карбонат основной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400,0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Натрия гидрокарбонат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200,0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Крушины кора, порошок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25,0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Аира корневища, порошок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25,0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Келлин</w:t>
            </w:r>
            <w:proofErr w:type="spellEnd"/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5,0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Рутин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5,0 мг</w:t>
            </w:r>
          </w:p>
        </w:tc>
      </w:tr>
      <w:tr w:rsidR="003B7C56" w:rsidRPr="003B7C56" w:rsidT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0" w:type="dxa"/>
            <w:gridSpan w:val="2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shd w:val="clear" w:color="auto" w:fill="FFFFFF" w:themeFill="background1"/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outline/>
                <w:color w:val="000000"/>
                <w:sz w:val="16"/>
                <w:szCs w:val="16"/>
              </w:rPr>
              <w:t>Вспомогательные вещества: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Крахмал картофельный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65,0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Тальк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20,0 мг</w:t>
            </w:r>
          </w:p>
        </w:tc>
      </w:tr>
      <w:tr w:rsidR="003B7C56" w:rsidRPr="003B7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Стеариновая кислота</w:t>
            </w:r>
          </w:p>
        </w:tc>
        <w:tc>
          <w:tcPr>
            <w:tcW w:w="2955" w:type="dxa"/>
            <w:tcBorders>
              <w:top w:val="single" w:sz="8" w:space="0" w:color="302D2A"/>
              <w:left w:val="single" w:sz="8" w:space="0" w:color="302D2A"/>
              <w:bottom w:val="single" w:sz="8" w:space="0" w:color="302D2A"/>
              <w:right w:val="single" w:sz="8" w:space="0" w:color="302D2A"/>
            </w:tcBorders>
            <w:tcMar>
              <w:top w:w="68" w:type="dxa"/>
              <w:left w:w="74" w:type="dxa"/>
              <w:bottom w:w="68" w:type="dxa"/>
              <w:right w:w="74" w:type="dxa"/>
            </w:tcMar>
          </w:tcPr>
          <w:p w:rsidR="003B7C56" w:rsidRPr="003B7C56" w:rsidRDefault="003B7C56" w:rsidP="003B7C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3B7C56">
              <w:rPr>
                <w:rFonts w:ascii="Arial" w:hAnsi="Arial" w:cs="Arial"/>
                <w:color w:val="302D2A"/>
                <w:sz w:val="16"/>
                <w:szCs w:val="16"/>
              </w:rPr>
              <w:t>5,0 мг</w:t>
            </w:r>
          </w:p>
        </w:tc>
      </w:tr>
    </w:tbl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302D2A"/>
          <w:sz w:val="17"/>
          <w:szCs w:val="17"/>
        </w:rPr>
      </w:pP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Описание: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Круглые плоскоцилиндрические таблетки светло-коричневого цвета с заметными вкраплениями с фаской и риской.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Фармакотерапевтическая группа:</w:t>
      </w:r>
      <w:r w:rsidRPr="003B7C56">
        <w:rPr>
          <w:rFonts w:ascii="Arial" w:hAnsi="Arial" w:cs="Arial"/>
          <w:color w:val="302D2A"/>
          <w:sz w:val="17"/>
          <w:szCs w:val="17"/>
        </w:rPr>
        <w:t xml:space="preserve"> антисептическое кишечное и вяжущее средство 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Код ATX:</w:t>
      </w:r>
      <w:r w:rsidRPr="003B7C56">
        <w:rPr>
          <w:rFonts w:ascii="Arial" w:hAnsi="Arial" w:cs="Arial"/>
          <w:color w:val="302D2A"/>
          <w:sz w:val="17"/>
          <w:szCs w:val="17"/>
        </w:rPr>
        <w:t xml:space="preserve"> А02ВХ 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Фармакологические свойства: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Комбинированный препарат, оказывает вяжущее,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антацидное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, спазмолитическое и мягкое слабительное действие. Магния карбонат основной и натрия гидрокарбонат снижают кислотность желудочного сока, уменьшают активность пепсина. Висмута нитрат основной образует защитную пленку на слизистой желудка, оказывая противовоспалительное, бактерицидное,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репаративное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действие. Входящие в состав аира </w:t>
      </w:r>
      <w:r w:rsidRPr="003B7C56">
        <w:rPr>
          <w:rFonts w:ascii="Arial" w:hAnsi="Arial" w:cs="Arial"/>
          <w:color w:val="302D2A"/>
          <w:spacing w:val="-4"/>
          <w:sz w:val="17"/>
          <w:szCs w:val="17"/>
        </w:rPr>
        <w:t xml:space="preserve">корневища и </w:t>
      </w:r>
      <w:proofErr w:type="spellStart"/>
      <w:r w:rsidRPr="003B7C56">
        <w:rPr>
          <w:rFonts w:ascii="Arial" w:hAnsi="Arial" w:cs="Arial"/>
          <w:color w:val="302D2A"/>
          <w:spacing w:val="-4"/>
          <w:sz w:val="17"/>
          <w:szCs w:val="17"/>
        </w:rPr>
        <w:t>келлин</w:t>
      </w:r>
      <w:proofErr w:type="spellEnd"/>
      <w:r w:rsidRPr="003B7C56">
        <w:rPr>
          <w:rFonts w:ascii="Arial" w:hAnsi="Arial" w:cs="Arial"/>
          <w:color w:val="302D2A"/>
          <w:spacing w:val="-4"/>
          <w:sz w:val="17"/>
          <w:szCs w:val="17"/>
        </w:rPr>
        <w:t xml:space="preserve"> оказывают спазмолитическое действие, крушины кор</w:t>
      </w:r>
      <w:proofErr w:type="gramStart"/>
      <w:r w:rsidRPr="003B7C56">
        <w:rPr>
          <w:rFonts w:ascii="Arial" w:hAnsi="Arial" w:cs="Arial"/>
          <w:color w:val="302D2A"/>
          <w:spacing w:val="-4"/>
          <w:sz w:val="17"/>
          <w:szCs w:val="17"/>
        </w:rPr>
        <w:t>а-</w:t>
      </w:r>
      <w:proofErr w:type="gramEnd"/>
      <w:r w:rsidRPr="003B7C56">
        <w:rPr>
          <w:rFonts w:ascii="Arial" w:hAnsi="Arial" w:cs="Arial"/>
          <w:color w:val="302D2A"/>
          <w:sz w:val="17"/>
          <w:szCs w:val="17"/>
        </w:rPr>
        <w:t xml:space="preserve"> слабительное.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Показания к применению: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В составе комплексной терапии: язвенная болезнь желудка и двенадцатиперстной кишки,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гиперацидный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гастрит.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Противопоказания: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Повышенная чувствительность к компонентам препарата,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гипоацидный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гастрит, почечная недостаточность, хронический аппендицит, энтероколит, детский возраст до 18 лет, беременность, лактация.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Способ применения и дозы: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pacing w:val="-2"/>
          <w:sz w:val="17"/>
          <w:szCs w:val="17"/>
        </w:rPr>
        <w:t>Внутрь по 1-2 таблетки 3 раза в день после еды с 1/4 стакана теплой воды (таблетки следует измельчить или растворить в указанном количестве воды). Курс лечения 1-2 месяца. Повторный курс - после консультации с врачом.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Меры предосторожности при применении: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Необходимо учитывать возможность развития энцефалопатии, связанной с накоплением висмута в центральной нервной системе при длительном применении препарата в высоких дозах.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Кал во время приема препарата приобретает в темно-зеленую или черную окраску.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Симптомы передозировки, меры по оказанию помощи при передозировке: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Данные по передозировке отсутствуют.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Побочные эффекты: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Аллергические реакции, учащение стула.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Взаимодействие с другими лекарственными препаратами: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При одновременном применении с тетрациклинами снижается всасывание </w:t>
      </w:r>
      <w:proofErr w:type="gramStart"/>
      <w:r w:rsidRPr="003B7C56">
        <w:rPr>
          <w:rFonts w:ascii="Arial" w:hAnsi="Arial" w:cs="Arial"/>
          <w:color w:val="302D2A"/>
          <w:sz w:val="17"/>
          <w:szCs w:val="17"/>
        </w:rPr>
        <w:t>последних</w:t>
      </w:r>
      <w:proofErr w:type="gramEnd"/>
      <w:r w:rsidRPr="003B7C56">
        <w:rPr>
          <w:rFonts w:ascii="Arial" w:hAnsi="Arial" w:cs="Arial"/>
          <w:color w:val="302D2A"/>
          <w:sz w:val="17"/>
          <w:szCs w:val="17"/>
        </w:rPr>
        <w:t>. В сочетании с другими препаратами, содержащими висмут, повышается содержание висмута в крови. Взаимодействия с другими лекарственными препаратами не выявлено.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lastRenderedPageBreak/>
        <w:t>Применение при беременности и в период грудного вскармливания: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Применение препарата в период беременности и лактации противопоказано.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Влияние на способность управлять транспортными средствами, механизмами: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С осторожностью при управлении транспортными средствами и занятиях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Форма выпуска: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Таблетки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По 10 таблеток в контурную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безъячейковую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упаковку из бумаги с полимерным покрытием.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По 1, 2, 5, 10 контурных ячейковых упаковок, или 1, 2, 5 контурных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безъячейковых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упаковок вместе с инструкцией по применению помещают в пачку из картона.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Условия хранения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В защищенном от влаги и света месте, при температуре не выше 25 °С.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Хранить в недоступном для детей месте.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Срок годности: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5 лет. Не применять после истечения срока годности, указанного на упаковке.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Условия отпуска: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Без рецепта.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Наименование и адрес юридического лица, на имя которого выдано регистрационное удостоверение/организация, принимающая претензии: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АО «АВВА </w:t>
      </w:r>
      <w:proofErr w:type="gramStart"/>
      <w:r w:rsidRPr="003B7C56">
        <w:rPr>
          <w:rFonts w:ascii="Arial" w:hAnsi="Arial" w:cs="Arial"/>
          <w:color w:val="302D2A"/>
          <w:sz w:val="17"/>
          <w:szCs w:val="17"/>
        </w:rPr>
        <w:t>РУС</w:t>
      </w:r>
      <w:proofErr w:type="gramEnd"/>
      <w:r w:rsidRPr="003B7C56">
        <w:rPr>
          <w:rFonts w:ascii="Arial" w:hAnsi="Arial" w:cs="Arial"/>
          <w:color w:val="302D2A"/>
          <w:sz w:val="17"/>
          <w:szCs w:val="17"/>
        </w:rPr>
        <w:t>», Россия, 121614,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 г. Москва, ул. </w:t>
      </w: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Крылатские</w:t>
      </w:r>
      <w:proofErr w:type="spellEnd"/>
      <w:r w:rsidRPr="003B7C56">
        <w:rPr>
          <w:rFonts w:ascii="Arial" w:hAnsi="Arial" w:cs="Arial"/>
          <w:color w:val="302D2A"/>
          <w:sz w:val="17"/>
          <w:szCs w:val="17"/>
        </w:rPr>
        <w:t xml:space="preserve"> Холмы, д.30, корп. 9.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>Тел/факс: +7 (495) 956-75-54.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proofErr w:type="spellStart"/>
      <w:r w:rsidRPr="003B7C56">
        <w:rPr>
          <w:rFonts w:ascii="Arial" w:hAnsi="Arial" w:cs="Arial"/>
          <w:color w:val="302D2A"/>
          <w:sz w:val="17"/>
          <w:szCs w:val="17"/>
        </w:rPr>
        <w:t>avva.com.ru</w:t>
      </w:r>
      <w:proofErr w:type="spellEnd"/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b/>
          <w:bCs/>
          <w:color w:val="302D2A"/>
          <w:sz w:val="17"/>
          <w:szCs w:val="17"/>
        </w:rPr>
        <w:t>Адрес места производства: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АО «АВВА </w:t>
      </w:r>
      <w:proofErr w:type="gramStart"/>
      <w:r w:rsidRPr="003B7C56">
        <w:rPr>
          <w:rFonts w:ascii="Arial" w:hAnsi="Arial" w:cs="Arial"/>
          <w:color w:val="302D2A"/>
          <w:sz w:val="17"/>
          <w:szCs w:val="17"/>
        </w:rPr>
        <w:t>РУС</w:t>
      </w:r>
      <w:proofErr w:type="gramEnd"/>
      <w:r w:rsidRPr="003B7C56">
        <w:rPr>
          <w:rFonts w:ascii="Arial" w:hAnsi="Arial" w:cs="Arial"/>
          <w:color w:val="302D2A"/>
          <w:sz w:val="17"/>
          <w:szCs w:val="17"/>
        </w:rPr>
        <w:t xml:space="preserve">», Россия, 610044, </w:t>
      </w:r>
    </w:p>
    <w:p w:rsidR="003B7C56" w:rsidRPr="003B7C56" w:rsidRDefault="003B7C56" w:rsidP="003B7C5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302D2A"/>
          <w:sz w:val="17"/>
          <w:szCs w:val="17"/>
        </w:rPr>
      </w:pPr>
      <w:r w:rsidRPr="003B7C56">
        <w:rPr>
          <w:rFonts w:ascii="Arial" w:hAnsi="Arial" w:cs="Arial"/>
          <w:color w:val="302D2A"/>
          <w:sz w:val="17"/>
          <w:szCs w:val="17"/>
        </w:rPr>
        <w:t xml:space="preserve">Кировская обл., г. Киров, ул. Луганская, д. 53а. </w:t>
      </w:r>
    </w:p>
    <w:p w:rsidR="003B7C56" w:rsidRPr="003B7C56" w:rsidRDefault="003B7C56" w:rsidP="003B7C56">
      <w:pPr>
        <w:rPr>
          <w:lang w:val="en-US"/>
        </w:rPr>
      </w:pPr>
      <w:r w:rsidRPr="003B7C56">
        <w:rPr>
          <w:rFonts w:ascii="Arial" w:hAnsi="Arial" w:cs="Arial"/>
          <w:color w:val="302D2A"/>
          <w:sz w:val="17"/>
          <w:szCs w:val="17"/>
        </w:rPr>
        <w:t>Тел.: +7 (8332) 25-12-29; +7 (495) 956-75-54.</w:t>
      </w:r>
    </w:p>
    <w:sectPr w:rsidR="003B7C56" w:rsidRPr="003B7C56" w:rsidSect="00A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28A2"/>
    <w:rsid w:val="003B7C56"/>
    <w:rsid w:val="00AD59F5"/>
    <w:rsid w:val="00DD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DD28A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1">
    <w:name w:val="Стиль абзаца 1"/>
    <w:basedOn w:val="a"/>
    <w:uiPriority w:val="99"/>
    <w:rsid w:val="00DD28A2"/>
    <w:pPr>
      <w:suppressAutoHyphens/>
      <w:autoSpaceDE w:val="0"/>
      <w:autoSpaceDN w:val="0"/>
      <w:adjustRightInd w:val="0"/>
      <w:spacing w:after="68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tereschuk</dc:creator>
  <cp:lastModifiedBy>tereschuk</cp:lastModifiedBy>
  <cp:revision>2</cp:revision>
  <dcterms:created xsi:type="dcterms:W3CDTF">2020-06-11T08:21:00Z</dcterms:created>
  <dcterms:modified xsi:type="dcterms:W3CDTF">2020-06-11T08:21:00Z</dcterms:modified>
</cp:coreProperties>
</file>