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F" w:rsidRPr="00673D1F" w:rsidRDefault="00673D1F" w:rsidP="00673D1F">
      <w:pPr>
        <w:autoSpaceDE w:val="0"/>
        <w:autoSpaceDN w:val="0"/>
        <w:adjustRightInd w:val="0"/>
        <w:spacing w:before="96" w:after="0" w:line="288" w:lineRule="auto"/>
        <w:jc w:val="center"/>
        <w:textAlignment w:val="center"/>
        <w:rPr>
          <w:rFonts w:ascii="Arial" w:hAnsi="Arial" w:cs="Arial"/>
          <w:b/>
          <w:bCs/>
          <w:color w:val="050000"/>
          <w:sz w:val="16"/>
          <w:szCs w:val="16"/>
        </w:rPr>
      </w:pPr>
      <w:r w:rsidRPr="00673D1F">
        <w:rPr>
          <w:rFonts w:ascii="Arial" w:hAnsi="Arial" w:cs="Arial"/>
          <w:caps/>
          <w:color w:val="050000"/>
        </w:rPr>
        <w:t>ИНСТРУКЦИЯ</w:t>
      </w:r>
      <w:r w:rsidRPr="00673D1F">
        <w:rPr>
          <w:rFonts w:ascii="Arial" w:hAnsi="Arial" w:cs="Arial"/>
          <w:b/>
          <w:bCs/>
          <w:color w:val="050000"/>
        </w:rPr>
        <w:br/>
      </w:r>
      <w:r w:rsidRPr="00673D1F">
        <w:rPr>
          <w:rFonts w:ascii="Arial" w:hAnsi="Arial" w:cs="Arial"/>
          <w:color w:val="050000"/>
        </w:rPr>
        <w:t>по медицинскому применению лекарственного препарата</w:t>
      </w:r>
    </w:p>
    <w:p w:rsidR="003B7C56" w:rsidRPr="00517ABE" w:rsidRDefault="00673D1F" w:rsidP="00673D1F">
      <w:pPr>
        <w:jc w:val="center"/>
        <w:rPr>
          <w:rFonts w:ascii="Arial" w:hAnsi="Arial" w:cs="Arial"/>
          <w:b/>
          <w:bCs/>
          <w:color w:val="050000"/>
          <w:sz w:val="28"/>
          <w:szCs w:val="28"/>
        </w:rPr>
      </w:pPr>
      <w:r w:rsidRPr="00517ABE">
        <w:rPr>
          <w:rFonts w:ascii="Arial" w:hAnsi="Arial" w:cs="Arial"/>
          <w:b/>
          <w:bCs/>
          <w:color w:val="050000"/>
          <w:sz w:val="28"/>
          <w:szCs w:val="28"/>
        </w:rPr>
        <w:t>Метионин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Регистрационный номер</w:t>
      </w:r>
      <w:r w:rsidRPr="00673D1F">
        <w:rPr>
          <w:lang w:val="ru-RU"/>
        </w:rPr>
        <w:t xml:space="preserve"> ЛС-001209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Торговое название препарата:</w:t>
      </w:r>
      <w:r w:rsidRPr="00673D1F">
        <w:rPr>
          <w:lang w:val="ru-RU"/>
        </w:rPr>
        <w:t xml:space="preserve"> Метионин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Международное непатентованное название:</w:t>
      </w:r>
      <w:r w:rsidRPr="00673D1F">
        <w:rPr>
          <w:lang w:val="ru-RU"/>
        </w:rPr>
        <w:t xml:space="preserve"> Метионин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Лекарственная форма:</w:t>
      </w:r>
      <w:r w:rsidRPr="00673D1F">
        <w:rPr>
          <w:lang w:val="ru-RU"/>
        </w:rPr>
        <w:br/>
        <w:t xml:space="preserve">Таблетки, покрытые оболочкой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Состав на одну таблетку:</w:t>
      </w:r>
      <w:r w:rsidRPr="00673D1F">
        <w:rPr>
          <w:lang w:val="ru-RU"/>
        </w:rPr>
        <w:br/>
      </w:r>
      <w:r w:rsidRPr="00673D1F">
        <w:rPr>
          <w:i/>
          <w:iCs/>
          <w:lang w:val="ru-RU"/>
        </w:rPr>
        <w:t>Действующее вещество:</w:t>
      </w:r>
      <w:r w:rsidRPr="00673D1F">
        <w:rPr>
          <w:lang w:val="ru-RU"/>
        </w:rPr>
        <w:t xml:space="preserve"> метионин - 250,0 мг</w:t>
      </w:r>
      <w:r w:rsidRPr="00673D1F">
        <w:rPr>
          <w:lang w:val="ru-RU"/>
        </w:rPr>
        <w:br/>
      </w:r>
      <w:r w:rsidRPr="00673D1F">
        <w:rPr>
          <w:i/>
          <w:iCs/>
          <w:lang w:val="ru-RU"/>
        </w:rPr>
        <w:t xml:space="preserve">Вспомогательные вещества: </w:t>
      </w:r>
      <w:r w:rsidRPr="00673D1F">
        <w:rPr>
          <w:lang w:val="ru-RU"/>
        </w:rPr>
        <w:t xml:space="preserve">крахмал картофельный - 44,0 мг, метилцеллюлоза - 3,0 мг, стеариновая кислота - 3,0 мг </w:t>
      </w:r>
      <w:r w:rsidRPr="00673D1F">
        <w:rPr>
          <w:lang w:val="ru-RU"/>
        </w:rPr>
        <w:br/>
      </w:r>
      <w:r w:rsidRPr="00673D1F">
        <w:rPr>
          <w:i/>
          <w:iCs/>
          <w:lang w:val="ru-RU"/>
        </w:rPr>
        <w:t>Вспомогательные вещества оболочки до получения таблетки с оболочкой массой 400,0 мг:</w:t>
      </w:r>
      <w:r w:rsidRPr="00673D1F">
        <w:rPr>
          <w:lang w:val="ru-RU"/>
        </w:rPr>
        <w:t xml:space="preserve"> сахароза (сахар) - 62,486 мг, мука пшеничная - 18,556 мг, магния карбонат (легкий) - 18,264 мг, тальк - 0,496 мг, масло подсолнечное рафинированное - 0,097 мг, воск пчелиный - 0,097 мг, краситель азорубин - 0,004 мг.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Описание</w:t>
      </w:r>
      <w:r w:rsidRPr="00673D1F">
        <w:rPr>
          <w:lang w:val="ru-RU"/>
        </w:rPr>
        <w:br/>
        <w:t>Круглые двояковыпуклые таблетки, покрытые оболочкой розового цвета с малозаметными вкраплениями. На поперечном разрезе видны два слоя с заметной границей между ними.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Фармакотерапевтическая группа:</w:t>
      </w:r>
      <w:r w:rsidRPr="00673D1F">
        <w:rPr>
          <w:lang w:val="ru-RU"/>
        </w:rPr>
        <w:t xml:space="preserve"> метаболическое средство.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 xml:space="preserve">Код </w:t>
      </w:r>
      <w:r>
        <w:rPr>
          <w:b/>
          <w:bCs/>
        </w:rPr>
        <w:t>ATX</w:t>
      </w:r>
      <w:r w:rsidRPr="00673D1F">
        <w:rPr>
          <w:b/>
          <w:bCs/>
          <w:lang w:val="ru-RU"/>
        </w:rPr>
        <w:t>:</w:t>
      </w:r>
      <w:r w:rsidRPr="00673D1F">
        <w:rPr>
          <w:lang w:val="ru-RU"/>
        </w:rPr>
        <w:t xml:space="preserve"> А05ВА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Фармакологические свойства</w:t>
      </w:r>
      <w:r w:rsidRPr="00673D1F">
        <w:rPr>
          <w:lang w:val="ru-RU"/>
        </w:rPr>
        <w:br/>
        <w:t xml:space="preserve">Незаменимая аминокислота, донатор подвижных метильных групп для синтеза холина, фосфолипидов, реализация липотропного эффекта. Участвует в синтезе адреналина, белков, реакциях переметилирования, дезаминирования, декарбоксилирования и пр. Участвует в обмене серосодержащих аминокислот, адреналина, креатинина, цианокобаламина, аскорбиновой и фолиевой кислот, гормонов, ферментов. Обладает дезинтоксицирующим эффектом. Оказывает метаболическое, гепатопротекторное действие. Легко всасывается в кишечнике, с мочой выделяется в небольшом количестве.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Показания к применению</w:t>
      </w:r>
      <w:r w:rsidRPr="00673D1F">
        <w:rPr>
          <w:lang w:val="ru-RU"/>
        </w:rPr>
        <w:br/>
        <w:t>Заболевания печени (гепатиты, гепатозы, циррозы), протекающие с жировой инфильтрацией гепатоцитов; предупреждение токсических поражений печени мышьяком, хлороформом, бензолом, алкоголем; дефицит белка различного происхождения в составе комбинированной терапии.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Противопоказания</w:t>
      </w:r>
      <w:r w:rsidRPr="00673D1F">
        <w:rPr>
          <w:lang w:val="ru-RU"/>
        </w:rPr>
        <w:br/>
        <w:t>Вирусный гепатит, тяжелая печеночная недостаточность, печеночная энцефалопатия, повышенная чувствительность к компонентам препарата. Препарат противопоказан детям до 6 лет.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С осторожностью</w:t>
      </w:r>
      <w:r w:rsidRPr="00673D1F">
        <w:rPr>
          <w:lang w:val="ru-RU"/>
        </w:rPr>
        <w:br/>
        <w:t>Почечная недостаточность (опасность нарастания гиперазотемии)</w:t>
      </w:r>
      <w:r w:rsidRPr="00673D1F">
        <w:rPr>
          <w:lang w:val="ru-RU"/>
        </w:rPr>
        <w:br/>
        <w:t>Не рекомендуется прием Метионина при вирусном гепатите.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Применение при беременности и в период грудного вскармливания</w:t>
      </w:r>
      <w:r w:rsidRPr="00673D1F">
        <w:rPr>
          <w:lang w:val="ru-RU"/>
        </w:rPr>
        <w:br/>
        <w:t>Отдельных данных нет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Сведения о возможном влиянии препарата на способность управлять транспортными средствами, механизмами</w:t>
      </w:r>
      <w:r w:rsidRPr="00673D1F">
        <w:rPr>
          <w:lang w:val="ru-RU"/>
        </w:rPr>
        <w:br/>
        <w:t>Отдельных данных нет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Способ применения и дозы</w:t>
      </w:r>
      <w:r w:rsidRPr="00673D1F">
        <w:rPr>
          <w:lang w:val="ru-RU"/>
        </w:rPr>
        <w:br/>
        <w:t>Внутрь взрослым по 0,5-1,5 г, детям старше 6 лет по 0,25 г — 0,5 г 3-4 раза в день за 30-60 минут до еды.</w:t>
      </w:r>
      <w:r w:rsidRPr="00673D1F">
        <w:rPr>
          <w:lang w:val="ru-RU"/>
        </w:rPr>
        <w:br/>
        <w:t>Курс лечения 10-30 дней или курсами по 10 дней с 10-дневными перерывами.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Побочное действие</w:t>
      </w:r>
      <w:r w:rsidRPr="00673D1F">
        <w:rPr>
          <w:lang w:val="ru-RU"/>
        </w:rPr>
        <w:br/>
        <w:t>Возможны аллергические реакции, тошнота, рвота (вследствие неприятного запаха и вкуса).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Передозировка</w:t>
      </w:r>
      <w:r w:rsidRPr="00673D1F">
        <w:rPr>
          <w:lang w:val="ru-RU"/>
        </w:rPr>
        <w:br/>
        <w:t>Симптомы: снижение артериального давления, тахикардия, дезориентация. Лечение симптоматическое.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Особые указания</w:t>
      </w:r>
      <w:r w:rsidRPr="00673D1F">
        <w:rPr>
          <w:lang w:val="ru-RU"/>
        </w:rPr>
        <w:br/>
        <w:t>Препарат следует назначать в сбалансированном соотношении с другими аминокислотами. Несбалансированное применение метионина в больших дозах может оказать повреждающее действие на клетки печени и других органов. Препарат не влияет на способность к управлению автомобилем и занятиям потенциально опасными видами деятельности, требующими повышенного внимания и быстроты психических и двигательных реакций.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Форма выпуска</w:t>
      </w:r>
      <w:r w:rsidRPr="00673D1F">
        <w:rPr>
          <w:lang w:val="ru-RU"/>
        </w:rPr>
        <w:br/>
        <w:t>Таблетки, покрытые оболочкой, 250 мг.</w:t>
      </w:r>
      <w:r w:rsidRPr="00673D1F">
        <w:rPr>
          <w:lang w:val="ru-RU"/>
        </w:rPr>
        <w:br/>
        <w:t xml:space="preserve">По 10 или 25 таблеток в контурную ячейковую упаковку из пленки поливинилхлоридной и фольги алюминиевой печатной </w:t>
      </w:r>
      <w:r w:rsidRPr="00673D1F">
        <w:rPr>
          <w:lang w:val="ru-RU"/>
        </w:rPr>
        <w:lastRenderedPageBreak/>
        <w:t>лакированной.</w:t>
      </w:r>
      <w:r w:rsidRPr="00673D1F">
        <w:rPr>
          <w:lang w:val="ru-RU"/>
        </w:rPr>
        <w:br/>
        <w:t>По 1, 2 или 5 контурных ячейковых упаковок вместе с инструкцией по применению помешают в пачку из картона.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Условия хранения</w:t>
      </w:r>
      <w:r w:rsidRPr="00673D1F">
        <w:rPr>
          <w:lang w:val="ru-RU"/>
        </w:rPr>
        <w:br/>
        <w:t>В защищенном от влаги и света месте при температуре не выше 25 °С.</w:t>
      </w:r>
      <w:r w:rsidRPr="00673D1F">
        <w:rPr>
          <w:lang w:val="ru-RU"/>
        </w:rPr>
        <w:br/>
        <w:t>Хранить в недоступном для детей месте.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>Срок годности.</w:t>
      </w:r>
      <w:r w:rsidRPr="00673D1F">
        <w:rPr>
          <w:lang w:val="ru-RU"/>
        </w:rPr>
        <w:br/>
        <w:t>5 лет. Не использовать препарат после истечения срока годности, указанного</w:t>
      </w:r>
      <w:r w:rsidRPr="00673D1F">
        <w:rPr>
          <w:lang w:val="ru-RU"/>
        </w:rPr>
        <w:br/>
        <w:t xml:space="preserve">на упаковке. </w:t>
      </w:r>
    </w:p>
    <w:p w:rsidR="00673D1F" w:rsidRPr="00673D1F" w:rsidRDefault="00673D1F" w:rsidP="00673D1F">
      <w:pPr>
        <w:pStyle w:val="a4"/>
        <w:rPr>
          <w:lang w:val="ru-RU"/>
        </w:rPr>
      </w:pPr>
      <w:r w:rsidRPr="00673D1F">
        <w:rPr>
          <w:b/>
          <w:bCs/>
          <w:lang w:val="ru-RU"/>
        </w:rPr>
        <w:t xml:space="preserve">Условия отпуска </w:t>
      </w:r>
      <w:r w:rsidRPr="00673D1F">
        <w:rPr>
          <w:lang w:val="ru-RU"/>
        </w:rPr>
        <w:br/>
        <w:t>Без рецепта.</w:t>
      </w:r>
    </w:p>
    <w:p w:rsidR="00673D1F" w:rsidRDefault="00673D1F" w:rsidP="00673D1F">
      <w:pPr>
        <w:pStyle w:val="a4"/>
      </w:pPr>
      <w:r w:rsidRPr="00673D1F">
        <w:rPr>
          <w:b/>
          <w:bCs/>
          <w:lang w:val="ru-RU"/>
        </w:rPr>
        <w:t>Наименование и адрес юридического лица, на имя которого выдано</w:t>
      </w:r>
      <w:r w:rsidRPr="00673D1F">
        <w:rPr>
          <w:b/>
          <w:bCs/>
          <w:lang w:val="ru-RU"/>
        </w:rPr>
        <w:br/>
        <w:t>регистрационное удостоверение/организация, принимающая претензии:</w:t>
      </w:r>
      <w:r w:rsidRPr="00673D1F">
        <w:rPr>
          <w:lang w:val="ru-RU"/>
        </w:rPr>
        <w:br/>
      </w:r>
      <w:proofErr w:type="gramStart"/>
      <w:r w:rsidRPr="00673D1F">
        <w:rPr>
          <w:spacing w:val="-2"/>
          <w:lang w:val="ru-RU"/>
        </w:rPr>
        <w:t xml:space="preserve">АО «АВВА РУС», Россия, 121614, г. Москва, ул. </w:t>
      </w:r>
      <w:proofErr w:type="spellStart"/>
      <w:r>
        <w:rPr>
          <w:spacing w:val="-2"/>
        </w:rPr>
        <w:t>Крылатские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Холмы</w:t>
      </w:r>
      <w:proofErr w:type="spellEnd"/>
      <w:r>
        <w:rPr>
          <w:spacing w:val="-2"/>
        </w:rPr>
        <w:t xml:space="preserve">, д.30, </w:t>
      </w:r>
      <w:proofErr w:type="spellStart"/>
      <w:r>
        <w:rPr>
          <w:spacing w:val="-2"/>
        </w:rPr>
        <w:t>корп</w:t>
      </w:r>
      <w:proofErr w:type="spellEnd"/>
      <w:r>
        <w:rPr>
          <w:spacing w:val="-2"/>
        </w:rPr>
        <w:t>. 9.</w:t>
      </w:r>
      <w:proofErr w:type="gramEnd"/>
      <w:r>
        <w:t xml:space="preserve"> </w:t>
      </w:r>
      <w:r>
        <w:br/>
      </w:r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>: +7 (495) 956-75-54.</w:t>
      </w:r>
      <w:r>
        <w:br/>
        <w:t>avva.com.ru</w:t>
      </w:r>
    </w:p>
    <w:p w:rsidR="00673D1F" w:rsidRPr="00517ABE" w:rsidRDefault="00673D1F" w:rsidP="00673D1F">
      <w:pPr>
        <w:rPr>
          <w:rFonts w:ascii="Arial" w:hAnsi="Arial" w:cs="Arial"/>
          <w:color w:val="000000"/>
          <w:sz w:val="16"/>
          <w:szCs w:val="16"/>
        </w:rPr>
      </w:pPr>
      <w:r w:rsidRPr="00517ABE">
        <w:rPr>
          <w:rFonts w:ascii="Arial" w:hAnsi="Arial" w:cs="Arial"/>
          <w:b/>
          <w:bCs/>
          <w:color w:val="000000"/>
          <w:sz w:val="16"/>
          <w:szCs w:val="16"/>
        </w:rPr>
        <w:t>Адрес места производства:</w:t>
      </w:r>
      <w:r>
        <w:br/>
      </w:r>
      <w:proofErr w:type="gramStart"/>
      <w:r w:rsidRPr="00517ABE">
        <w:rPr>
          <w:rFonts w:ascii="Arial" w:hAnsi="Arial" w:cs="Arial"/>
          <w:color w:val="000000"/>
          <w:sz w:val="16"/>
          <w:szCs w:val="16"/>
        </w:rPr>
        <w:t>АО «АВВА РУС», Россия, 610044, Кировская обл., г. Киров, ул. Луганская, д. 53а.</w:t>
      </w:r>
      <w:proofErr w:type="gramEnd"/>
      <w:r w:rsidRPr="00517ABE">
        <w:rPr>
          <w:rFonts w:ascii="Arial" w:hAnsi="Arial" w:cs="Arial"/>
          <w:color w:val="000000"/>
          <w:sz w:val="16"/>
          <w:szCs w:val="16"/>
        </w:rPr>
        <w:br/>
        <w:t>Тел.: +7 (8332) 25-12-29; +7 (495) 956-75-54.</w:t>
      </w:r>
    </w:p>
    <w:sectPr w:rsidR="00673D1F" w:rsidRPr="00517ABE" w:rsidSect="00AD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8A2"/>
    <w:rsid w:val="003B7C56"/>
    <w:rsid w:val="00517ABE"/>
    <w:rsid w:val="00673D1F"/>
    <w:rsid w:val="00AD59F5"/>
    <w:rsid w:val="00DD28A2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DD28A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1">
    <w:name w:val="Стиль абзаца 1"/>
    <w:basedOn w:val="a"/>
    <w:uiPriority w:val="99"/>
    <w:rsid w:val="00DD28A2"/>
    <w:pPr>
      <w:suppressAutoHyphens/>
      <w:autoSpaceDE w:val="0"/>
      <w:autoSpaceDN w:val="0"/>
      <w:adjustRightInd w:val="0"/>
      <w:spacing w:after="68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a4">
    <w:name w:val="основной абзац (копия)"/>
    <w:basedOn w:val="a"/>
    <w:uiPriority w:val="99"/>
    <w:rsid w:val="00673D1F"/>
    <w:pPr>
      <w:autoSpaceDE w:val="0"/>
      <w:autoSpaceDN w:val="0"/>
      <w:adjustRightInd w:val="0"/>
      <w:spacing w:after="102" w:line="288" w:lineRule="auto"/>
      <w:textAlignment w:val="center"/>
    </w:pPr>
    <w:rPr>
      <w:rFonts w:ascii="Arial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tereschuk</dc:creator>
  <cp:lastModifiedBy>cherkasov</cp:lastModifiedBy>
  <cp:revision>3</cp:revision>
  <dcterms:created xsi:type="dcterms:W3CDTF">2020-06-11T08:26:00Z</dcterms:created>
  <dcterms:modified xsi:type="dcterms:W3CDTF">2020-06-11T11:58:00Z</dcterms:modified>
</cp:coreProperties>
</file>