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8" w:rsidRPr="00D2553E" w:rsidRDefault="00A91001" w:rsidP="00617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A91001" w:rsidRPr="00D2553E" w:rsidRDefault="00A91001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01" w:rsidRPr="00D2553E" w:rsidRDefault="00A91001" w:rsidP="002961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>ИНСТРУКЦИЯ</w:t>
      </w:r>
    </w:p>
    <w:p w:rsidR="00A91001" w:rsidRPr="00D2553E" w:rsidRDefault="006179E8" w:rsidP="002961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>ПО МЕДИЦИНСКОМУ ПРИМЕНЕНИЮ ЛЕКАРСТВЕННОГО ПРЕПАРАТА</w:t>
      </w:r>
    </w:p>
    <w:p w:rsidR="00A91001" w:rsidRPr="00D2553E" w:rsidRDefault="002961CB" w:rsidP="002961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3E">
        <w:rPr>
          <w:rFonts w:ascii="Times New Roman" w:hAnsi="Times New Roman" w:cs="Times New Roman"/>
          <w:b/>
          <w:sz w:val="28"/>
          <w:szCs w:val="28"/>
        </w:rPr>
        <w:t>Омепразол</w:t>
      </w:r>
      <w:proofErr w:type="spellEnd"/>
    </w:p>
    <w:p w:rsidR="00A91001" w:rsidRPr="00D2553E" w:rsidRDefault="00A91001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01" w:rsidRPr="00D2553E" w:rsidRDefault="00A91001" w:rsidP="006731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Регистрационный номер:</w:t>
      </w:r>
    </w:p>
    <w:p w:rsidR="00982809" w:rsidRPr="00D2553E" w:rsidRDefault="00A91001" w:rsidP="006731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Торговое наименование</w:t>
      </w:r>
      <w:r w:rsidR="00F42BA9" w:rsidRPr="00D2553E">
        <w:rPr>
          <w:rFonts w:ascii="Times New Roman" w:hAnsi="Times New Roman" w:cs="Times New Roman"/>
          <w:b/>
          <w:sz w:val="28"/>
          <w:szCs w:val="28"/>
        </w:rPr>
        <w:t xml:space="preserve"> препарата</w:t>
      </w:r>
      <w:r w:rsidRPr="00D2553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833C9" w:rsidRPr="00D2553E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</w:p>
    <w:p w:rsidR="00A91001" w:rsidRPr="00D2553E" w:rsidRDefault="00A91001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 xml:space="preserve">Международное непатентованное наименование: </w:t>
      </w:r>
      <w:proofErr w:type="spellStart"/>
      <w:r w:rsidR="000833C9" w:rsidRPr="00D2553E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</w:p>
    <w:p w:rsidR="00A91001" w:rsidRPr="00D2553E" w:rsidRDefault="00A91001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="00982809" w:rsidRPr="00D2553E">
        <w:rPr>
          <w:rFonts w:ascii="Times New Roman" w:hAnsi="Times New Roman" w:cs="Times New Roman"/>
          <w:b/>
          <w:sz w:val="28"/>
          <w:szCs w:val="28"/>
        </w:rPr>
        <w:t>:</w:t>
      </w:r>
      <w:r w:rsidR="000833C9" w:rsidRPr="00D25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C9" w:rsidRPr="00D2553E">
        <w:rPr>
          <w:rFonts w:ascii="Times New Roman" w:hAnsi="Times New Roman" w:cs="Times New Roman"/>
          <w:sz w:val="28"/>
          <w:szCs w:val="28"/>
        </w:rPr>
        <w:t>капсулы</w:t>
      </w:r>
    </w:p>
    <w:p w:rsidR="008572FD" w:rsidRPr="00D2553E" w:rsidRDefault="008572FD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Состав на одну</w:t>
      </w:r>
      <w:r w:rsidR="000833C9" w:rsidRPr="00D2553E">
        <w:rPr>
          <w:rFonts w:ascii="Times New Roman" w:hAnsi="Times New Roman" w:cs="Times New Roman"/>
          <w:b/>
          <w:sz w:val="28"/>
          <w:szCs w:val="28"/>
        </w:rPr>
        <w:t xml:space="preserve"> капсулу</w:t>
      </w:r>
      <w:r w:rsidRPr="00D2553E">
        <w:rPr>
          <w:rFonts w:ascii="Times New Roman" w:hAnsi="Times New Roman" w:cs="Times New Roman"/>
          <w:b/>
          <w:sz w:val="28"/>
          <w:szCs w:val="28"/>
        </w:rPr>
        <w:t>:</w:t>
      </w:r>
    </w:p>
    <w:p w:rsidR="00D5612D" w:rsidRPr="00D2553E" w:rsidRDefault="00D5612D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 xml:space="preserve">Действующее вещество: </w:t>
      </w:r>
    </w:p>
    <w:p w:rsidR="005F4795" w:rsidRPr="00D2553E" w:rsidRDefault="00D5612D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о</w:t>
      </w:r>
      <w:r w:rsidR="005F4795" w:rsidRPr="00D2553E">
        <w:rPr>
          <w:rFonts w:ascii="Times New Roman" w:hAnsi="Times New Roman" w:cs="Times New Roman"/>
          <w:sz w:val="28"/>
          <w:szCs w:val="28"/>
        </w:rPr>
        <w:t>мепразола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795" w:rsidRPr="00D2553E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 – 235 мг, содержащих </w:t>
      </w:r>
      <w:proofErr w:type="spellStart"/>
      <w:r w:rsidR="005F4795" w:rsidRPr="00D2553E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 – 20 мг</w:t>
      </w:r>
      <w:r w:rsidR="0000448C" w:rsidRPr="00D2553E">
        <w:rPr>
          <w:rFonts w:ascii="Times New Roman" w:hAnsi="Times New Roman" w:cs="Times New Roman"/>
          <w:sz w:val="28"/>
          <w:szCs w:val="28"/>
        </w:rPr>
        <w:t>.</w:t>
      </w:r>
    </w:p>
    <w:p w:rsidR="005F4795" w:rsidRPr="00D2553E" w:rsidRDefault="005F4795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 xml:space="preserve">Вспомогательные вещества, входящие в состав </w:t>
      </w:r>
      <w:proofErr w:type="spellStart"/>
      <w:r w:rsidRPr="00D2553E">
        <w:rPr>
          <w:rFonts w:ascii="Times New Roman" w:hAnsi="Times New Roman" w:cs="Times New Roman"/>
          <w:i/>
          <w:sz w:val="28"/>
          <w:szCs w:val="28"/>
        </w:rPr>
        <w:t>пеллет</w:t>
      </w:r>
      <w:proofErr w:type="spellEnd"/>
      <w:r w:rsidRPr="00F7425B">
        <w:rPr>
          <w:rFonts w:ascii="Times New Roman" w:hAnsi="Times New Roman" w:cs="Times New Roman"/>
          <w:i/>
          <w:sz w:val="28"/>
          <w:szCs w:val="28"/>
        </w:rPr>
        <w:t>:</w:t>
      </w:r>
    </w:p>
    <w:p w:rsidR="00D5612D" w:rsidRPr="00D2553E" w:rsidRDefault="00D5612D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>м</w:t>
      </w:r>
      <w:r w:rsidR="005F4795" w:rsidRPr="00D2553E">
        <w:rPr>
          <w:rFonts w:ascii="Times New Roman" w:hAnsi="Times New Roman" w:cs="Times New Roman"/>
          <w:sz w:val="28"/>
          <w:szCs w:val="28"/>
        </w:rPr>
        <w:t xml:space="preserve">етакриловой кислоты и </w:t>
      </w:r>
      <w:proofErr w:type="spellStart"/>
      <w:r w:rsidR="005F4795" w:rsidRPr="00D2553E">
        <w:rPr>
          <w:rFonts w:ascii="Times New Roman" w:hAnsi="Times New Roman" w:cs="Times New Roman"/>
          <w:sz w:val="28"/>
          <w:szCs w:val="28"/>
        </w:rPr>
        <w:t>этилакрилата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 сополимер [1:1] (акриловое покрытие </w:t>
      </w:r>
      <w:r w:rsidR="005F4795" w:rsidRPr="00D2553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4795" w:rsidRPr="00D2553E">
        <w:rPr>
          <w:rFonts w:ascii="Times New Roman" w:hAnsi="Times New Roman" w:cs="Times New Roman"/>
          <w:sz w:val="28"/>
          <w:szCs w:val="28"/>
        </w:rPr>
        <w:t>30</w:t>
      </w:r>
      <w:r w:rsidR="005F4795" w:rsidRPr="00D255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4795" w:rsidRPr="00D2553E">
        <w:rPr>
          <w:rFonts w:ascii="Times New Roman" w:hAnsi="Times New Roman" w:cs="Times New Roman"/>
          <w:sz w:val="28"/>
          <w:szCs w:val="28"/>
        </w:rPr>
        <w:t xml:space="preserve">) – 18,90 %, кальция карбонат – 2,975 %, калия </w:t>
      </w:r>
      <w:proofErr w:type="spellStart"/>
      <w:r w:rsidR="005F4795" w:rsidRPr="00D2553E">
        <w:rPr>
          <w:rFonts w:ascii="Times New Roman" w:hAnsi="Times New Roman" w:cs="Times New Roman"/>
          <w:sz w:val="28"/>
          <w:szCs w:val="28"/>
        </w:rPr>
        <w:t>гид</w:t>
      </w:r>
      <w:r w:rsidRPr="00D2553E">
        <w:rPr>
          <w:rFonts w:ascii="Times New Roman" w:hAnsi="Times New Roman" w:cs="Times New Roman"/>
          <w:sz w:val="28"/>
          <w:szCs w:val="28"/>
        </w:rPr>
        <w:t>рофосфат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(калия фосфат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двузамещ</w:t>
      </w:r>
      <w:r w:rsidR="005F4795" w:rsidRPr="00D2553E">
        <w:rPr>
          <w:rFonts w:ascii="Times New Roman" w:hAnsi="Times New Roman" w:cs="Times New Roman"/>
          <w:sz w:val="28"/>
          <w:szCs w:val="28"/>
        </w:rPr>
        <w:t>енный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) – 1,275 %, </w:t>
      </w:r>
      <w:proofErr w:type="spellStart"/>
      <w:r w:rsidR="005F4795" w:rsidRPr="00D2553E">
        <w:rPr>
          <w:rFonts w:ascii="Times New Roman" w:hAnsi="Times New Roman" w:cs="Times New Roman"/>
          <w:sz w:val="28"/>
          <w:szCs w:val="28"/>
        </w:rPr>
        <w:t>гидроксипропилметилцеллюлоза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4795" w:rsidRPr="00D2553E">
        <w:rPr>
          <w:rFonts w:ascii="Times New Roman" w:hAnsi="Times New Roman" w:cs="Times New Roman"/>
          <w:sz w:val="28"/>
          <w:szCs w:val="28"/>
        </w:rPr>
        <w:t>гипромеллоза</w:t>
      </w:r>
      <w:proofErr w:type="spellEnd"/>
      <w:r w:rsidR="005F4795" w:rsidRPr="00D2553E"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5F4795" w:rsidRPr="00D2553E" w:rsidRDefault="005F4795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 xml:space="preserve">6,25 %,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– 17,0 %, сахарные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(сахароза) – 8,0 %, сахарный сироп (сахароза) – 30,25 %,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полиэтиленгликоль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6000 – 2,45 %, повидон-К30 (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поливинилп</w:t>
      </w:r>
      <w:r w:rsidR="00D5612D" w:rsidRPr="00D2553E">
        <w:rPr>
          <w:rFonts w:ascii="Times New Roman" w:hAnsi="Times New Roman" w:cs="Times New Roman"/>
          <w:sz w:val="28"/>
          <w:szCs w:val="28"/>
        </w:rPr>
        <w:t>ирролидон</w:t>
      </w:r>
      <w:proofErr w:type="spellEnd"/>
      <w:r w:rsidR="00D5612D" w:rsidRPr="00D2553E">
        <w:rPr>
          <w:rFonts w:ascii="Times New Roman" w:hAnsi="Times New Roman" w:cs="Times New Roman"/>
          <w:sz w:val="28"/>
          <w:szCs w:val="28"/>
        </w:rPr>
        <w:t xml:space="preserve"> К 30) – 0,075 %, натр</w:t>
      </w:r>
      <w:r w:rsidRPr="00D2553E">
        <w:rPr>
          <w:rFonts w:ascii="Times New Roman" w:hAnsi="Times New Roman" w:cs="Times New Roman"/>
          <w:sz w:val="28"/>
          <w:szCs w:val="28"/>
        </w:rPr>
        <w:t>и</w:t>
      </w:r>
      <w:r w:rsidR="00D5612D" w:rsidRPr="00D2553E">
        <w:rPr>
          <w:rFonts w:ascii="Times New Roman" w:hAnsi="Times New Roman" w:cs="Times New Roman"/>
          <w:sz w:val="28"/>
          <w:szCs w:val="28"/>
        </w:rPr>
        <w:t>я</w:t>
      </w:r>
      <w:r w:rsidRPr="00D2553E">
        <w:rPr>
          <w:rFonts w:ascii="Times New Roman" w:hAnsi="Times New Roman" w:cs="Times New Roman"/>
          <w:sz w:val="28"/>
          <w:szCs w:val="28"/>
        </w:rPr>
        <w:t xml:space="preserve"> гидроксид – 0,125 %, натрия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– 0,45 %, тальк – 2,45 %, тита</w:t>
      </w:r>
      <w:r w:rsidR="00D5612D" w:rsidRPr="00D2553E">
        <w:rPr>
          <w:rFonts w:ascii="Times New Roman" w:hAnsi="Times New Roman" w:cs="Times New Roman"/>
          <w:sz w:val="28"/>
          <w:szCs w:val="28"/>
        </w:rPr>
        <w:t>на диоксид – 0,80 %, полисорбат</w:t>
      </w:r>
      <w:r w:rsidRPr="00D2553E">
        <w:rPr>
          <w:rFonts w:ascii="Times New Roman" w:hAnsi="Times New Roman" w:cs="Times New Roman"/>
          <w:sz w:val="28"/>
          <w:szCs w:val="28"/>
        </w:rPr>
        <w:t xml:space="preserve">-80 (твин 80) – 0,50 %. </w:t>
      </w:r>
    </w:p>
    <w:p w:rsidR="005F4795" w:rsidRPr="00D2553E" w:rsidRDefault="005F4795" w:rsidP="00673126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Оболочка капсулы (корпус):</w:t>
      </w:r>
      <w:r w:rsidRPr="00D2553E">
        <w:rPr>
          <w:rFonts w:ascii="Times New Roman" w:hAnsi="Times New Roman" w:cs="Times New Roman"/>
          <w:sz w:val="28"/>
          <w:szCs w:val="28"/>
        </w:rPr>
        <w:t xml:space="preserve"> желатин до 100 %, вода 14-15 %; </w:t>
      </w:r>
      <w:r w:rsidRPr="00D2553E">
        <w:rPr>
          <w:rFonts w:ascii="Times New Roman" w:hAnsi="Times New Roman" w:cs="Times New Roman"/>
          <w:i/>
          <w:sz w:val="28"/>
          <w:szCs w:val="28"/>
        </w:rPr>
        <w:t>(крышка):</w:t>
      </w:r>
      <w:r w:rsidRPr="00D2553E">
        <w:rPr>
          <w:rFonts w:ascii="Times New Roman" w:hAnsi="Times New Roman" w:cs="Times New Roman"/>
          <w:sz w:val="28"/>
          <w:szCs w:val="28"/>
        </w:rPr>
        <w:t xml:space="preserve"> желатин до 100 %, вода – 14-15 %, краситель пунцовый (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Понсо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4</w:t>
      </w:r>
      <w:r w:rsidRPr="00D255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2553E">
        <w:rPr>
          <w:rFonts w:ascii="Times New Roman" w:hAnsi="Times New Roman" w:cs="Times New Roman"/>
          <w:sz w:val="28"/>
          <w:szCs w:val="28"/>
        </w:rPr>
        <w:t>)</w:t>
      </w:r>
      <w:r w:rsidR="00DA11C2" w:rsidRPr="00D2553E">
        <w:rPr>
          <w:rFonts w:ascii="Times New Roman" w:hAnsi="Times New Roman" w:cs="Times New Roman"/>
          <w:sz w:val="28"/>
          <w:szCs w:val="28"/>
        </w:rPr>
        <w:t xml:space="preserve"> - </w:t>
      </w:r>
      <w:r w:rsidRPr="00D2553E">
        <w:rPr>
          <w:rFonts w:ascii="Times New Roman" w:hAnsi="Times New Roman" w:cs="Times New Roman"/>
          <w:sz w:val="28"/>
          <w:szCs w:val="28"/>
        </w:rPr>
        <w:t xml:space="preserve">0,6666 %, краситель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хинолиновый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желтый – 0,1000 %, краситель патентованный синий – 0,0200 %, титана диоксид – 1,2999 %</w:t>
      </w:r>
      <w:r w:rsidR="00D5612D" w:rsidRPr="00D2553E">
        <w:rPr>
          <w:rFonts w:ascii="Times New Roman" w:hAnsi="Times New Roman" w:cs="Times New Roman"/>
          <w:sz w:val="28"/>
          <w:szCs w:val="28"/>
        </w:rPr>
        <w:t>.</w:t>
      </w:r>
    </w:p>
    <w:p w:rsidR="008572FD" w:rsidRPr="00D2553E" w:rsidRDefault="003357FA" w:rsidP="00F74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5F4795" w:rsidRPr="00D2553E">
        <w:rPr>
          <w:rFonts w:ascii="Times New Roman" w:hAnsi="Times New Roman" w:cs="Times New Roman"/>
          <w:b/>
          <w:sz w:val="28"/>
          <w:szCs w:val="28"/>
        </w:rPr>
        <w:t>:</w:t>
      </w:r>
      <w:r w:rsidRPr="00D25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B1" w:rsidRPr="00261FB1">
        <w:rPr>
          <w:rFonts w:ascii="Times New Roman" w:hAnsi="Times New Roman" w:cs="Times New Roman"/>
          <w:sz w:val="28"/>
          <w:szCs w:val="28"/>
        </w:rPr>
        <w:t>т</w:t>
      </w:r>
      <w:r w:rsidR="000201CC" w:rsidRPr="00D2553E">
        <w:rPr>
          <w:rFonts w:ascii="Times New Roman" w:hAnsi="Times New Roman" w:cs="Times New Roman"/>
          <w:sz w:val="28"/>
          <w:szCs w:val="28"/>
        </w:rPr>
        <w:t xml:space="preserve">вердые желатиновые капсулы № 2 с прозрачным корпусом и коричневой крышкой, содержащие белые или почти белые сферические </w:t>
      </w:r>
      <w:proofErr w:type="spellStart"/>
      <w:r w:rsidR="000201CC" w:rsidRPr="00D2553E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="000201CC" w:rsidRPr="00D2553E">
        <w:rPr>
          <w:rFonts w:ascii="Times New Roman" w:hAnsi="Times New Roman" w:cs="Times New Roman"/>
          <w:sz w:val="28"/>
          <w:szCs w:val="28"/>
        </w:rPr>
        <w:t xml:space="preserve"> (гранулы). </w:t>
      </w:r>
    </w:p>
    <w:p w:rsidR="008572FD" w:rsidRPr="00D2553E" w:rsidRDefault="003357FA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 xml:space="preserve">Фармакотерапевтическая группа: </w:t>
      </w:r>
      <w:r w:rsidR="008E7FB2" w:rsidRPr="00D2553E">
        <w:rPr>
          <w:rFonts w:ascii="Times New Roman" w:hAnsi="Times New Roman" w:cs="Times New Roman"/>
          <w:sz w:val="28"/>
          <w:szCs w:val="28"/>
        </w:rPr>
        <w:t xml:space="preserve">средство, понижающее секрецию желез желудка - </w:t>
      </w:r>
      <w:proofErr w:type="spellStart"/>
      <w:r w:rsidR="008E7FB2" w:rsidRPr="00D2553E">
        <w:rPr>
          <w:rFonts w:ascii="Times New Roman" w:hAnsi="Times New Roman" w:cs="Times New Roman"/>
          <w:sz w:val="28"/>
          <w:szCs w:val="28"/>
        </w:rPr>
        <w:t>протонового</w:t>
      </w:r>
      <w:proofErr w:type="spellEnd"/>
      <w:r w:rsidR="008E7FB2" w:rsidRPr="00D2553E">
        <w:rPr>
          <w:rFonts w:ascii="Times New Roman" w:hAnsi="Times New Roman" w:cs="Times New Roman"/>
          <w:sz w:val="28"/>
          <w:szCs w:val="28"/>
        </w:rPr>
        <w:t xml:space="preserve"> насоса ингибитор</w:t>
      </w:r>
      <w:r w:rsidR="00D5612D" w:rsidRPr="00D2553E">
        <w:rPr>
          <w:rFonts w:ascii="Times New Roman" w:hAnsi="Times New Roman" w:cs="Times New Roman"/>
          <w:sz w:val="28"/>
          <w:szCs w:val="28"/>
        </w:rPr>
        <w:t>.</w:t>
      </w:r>
    </w:p>
    <w:p w:rsidR="003357FA" w:rsidRPr="00D2553E" w:rsidRDefault="003357FA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Код АТХ: </w:t>
      </w:r>
      <w:r w:rsidR="008E7FB2" w:rsidRPr="00D2553E">
        <w:rPr>
          <w:rFonts w:ascii="Times New Roman" w:hAnsi="Times New Roman" w:cs="Times New Roman"/>
          <w:sz w:val="28"/>
          <w:szCs w:val="28"/>
        </w:rPr>
        <w:t>А02ВС01</w:t>
      </w:r>
      <w:r w:rsidR="00F7425B">
        <w:rPr>
          <w:rFonts w:ascii="Times New Roman" w:hAnsi="Times New Roman" w:cs="Times New Roman"/>
          <w:sz w:val="28"/>
          <w:szCs w:val="28"/>
        </w:rPr>
        <w:t>.</w:t>
      </w:r>
    </w:p>
    <w:p w:rsidR="003357FA" w:rsidRPr="00D2553E" w:rsidRDefault="003357FA" w:rsidP="006731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Фармакологические свойства</w:t>
      </w:r>
    </w:p>
    <w:p w:rsidR="00430692" w:rsidRPr="00D2553E" w:rsidRDefault="00430692" w:rsidP="006731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553E">
        <w:rPr>
          <w:rFonts w:ascii="Times New Roman" w:hAnsi="Times New Roman" w:cs="Times New Roman"/>
          <w:b/>
          <w:i/>
          <w:sz w:val="28"/>
          <w:szCs w:val="28"/>
        </w:rPr>
        <w:t>Фармакодинамика</w:t>
      </w:r>
      <w:proofErr w:type="spellEnd"/>
    </w:p>
    <w:p w:rsidR="00291CFF" w:rsidRPr="00D2553E" w:rsidRDefault="008E7FB2" w:rsidP="00673126">
      <w:pPr>
        <w:spacing w:after="0" w:line="360" w:lineRule="auto"/>
        <w:jc w:val="both"/>
        <w:rPr>
          <w:rStyle w:val="5"/>
          <w:rFonts w:eastAsiaTheme="minorHAnsi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 xml:space="preserve">Ингибирует фермент </w:t>
      </w:r>
      <w:r w:rsidRPr="00D255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553E">
        <w:rPr>
          <w:rFonts w:ascii="Times New Roman" w:hAnsi="Times New Roman" w:cs="Times New Roman"/>
          <w:sz w:val="28"/>
          <w:szCs w:val="28"/>
        </w:rPr>
        <w:t>+</w:t>
      </w:r>
      <w:r w:rsidRPr="00D2553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553E">
        <w:rPr>
          <w:rFonts w:ascii="Times New Roman" w:hAnsi="Times New Roman" w:cs="Times New Roman"/>
          <w:sz w:val="28"/>
          <w:szCs w:val="28"/>
        </w:rPr>
        <w:t>+АТФ-азу («протонный насос») в париетальных клетках желудка и тем самым блокирует заключительную стадию синтеза соляной кислоты. Это приводит к снижению уровня базальной и стимулированной секреции независимо от природы раздражителя. После однократного приема препарат</w:t>
      </w:r>
      <w:r w:rsidR="00D5612D" w:rsidRPr="00D2553E">
        <w:rPr>
          <w:rFonts w:ascii="Times New Roman" w:hAnsi="Times New Roman" w:cs="Times New Roman"/>
          <w:sz w:val="28"/>
          <w:szCs w:val="28"/>
        </w:rPr>
        <w:t>а</w:t>
      </w:r>
      <w:r w:rsidRPr="00D2553E">
        <w:rPr>
          <w:rFonts w:ascii="Times New Roman" w:hAnsi="Times New Roman" w:cs="Times New Roman"/>
          <w:sz w:val="28"/>
          <w:szCs w:val="28"/>
        </w:rPr>
        <w:t xml:space="preserve"> внутрь действие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наступает в течение первого часа и продолжается в течение 24 часов, максимум эффекта достигается через 2 часа. После прекращения приема препарата секреторная активность полн</w:t>
      </w:r>
      <w:r w:rsidR="00D5612D" w:rsidRPr="00D2553E">
        <w:rPr>
          <w:rFonts w:ascii="Times New Roman" w:hAnsi="Times New Roman" w:cs="Times New Roman"/>
          <w:sz w:val="28"/>
          <w:szCs w:val="28"/>
        </w:rPr>
        <w:t>остью восстанавливается через 3–</w:t>
      </w:r>
      <w:r w:rsidRPr="00D2553E">
        <w:rPr>
          <w:rFonts w:ascii="Times New Roman" w:hAnsi="Times New Roman" w:cs="Times New Roman"/>
          <w:sz w:val="28"/>
          <w:szCs w:val="28"/>
        </w:rPr>
        <w:t>5 суток.</w:t>
      </w:r>
      <w:r w:rsidR="00545AF0" w:rsidRPr="00D2553E">
        <w:rPr>
          <w:rFonts w:ascii="Times New Roman" w:hAnsi="Times New Roman" w:cs="Times New Roman"/>
          <w:sz w:val="28"/>
          <w:szCs w:val="28"/>
        </w:rPr>
        <w:t xml:space="preserve"> Вследствие снижения секреции соляной кислоты повышается концентрация </w:t>
      </w:r>
      <w:proofErr w:type="spellStart"/>
      <w:r w:rsidR="00545AF0" w:rsidRPr="00D2553E">
        <w:rPr>
          <w:rFonts w:ascii="Times New Roman" w:hAnsi="Times New Roman" w:cs="Times New Roman"/>
          <w:sz w:val="28"/>
          <w:szCs w:val="28"/>
        </w:rPr>
        <w:t>хромогранина</w:t>
      </w:r>
      <w:proofErr w:type="spellEnd"/>
      <w:r w:rsidR="00545AF0" w:rsidRPr="00D2553E">
        <w:rPr>
          <w:rFonts w:ascii="Times New Roman" w:hAnsi="Times New Roman" w:cs="Times New Roman"/>
          <w:sz w:val="28"/>
          <w:szCs w:val="28"/>
        </w:rPr>
        <w:t xml:space="preserve"> А (</w:t>
      </w:r>
      <w:proofErr w:type="spellStart"/>
      <w:r w:rsidR="00545AF0" w:rsidRPr="00D2553E">
        <w:rPr>
          <w:rFonts w:ascii="Times New Roman" w:hAnsi="Times New Roman" w:cs="Times New Roman"/>
          <w:sz w:val="28"/>
          <w:szCs w:val="28"/>
          <w:lang w:val="en-US"/>
        </w:rPr>
        <w:t>CgA</w:t>
      </w:r>
      <w:proofErr w:type="spellEnd"/>
      <w:r w:rsidR="00545AF0" w:rsidRPr="00D2553E">
        <w:rPr>
          <w:rFonts w:ascii="Times New Roman" w:hAnsi="Times New Roman" w:cs="Times New Roman"/>
          <w:sz w:val="28"/>
          <w:szCs w:val="28"/>
        </w:rPr>
        <w:t xml:space="preserve">). Повышение концентрации </w:t>
      </w:r>
      <w:proofErr w:type="spellStart"/>
      <w:r w:rsidR="00545AF0" w:rsidRPr="00D2553E">
        <w:rPr>
          <w:rFonts w:ascii="Times New Roman" w:hAnsi="Times New Roman" w:cs="Times New Roman"/>
          <w:sz w:val="28"/>
          <w:szCs w:val="28"/>
          <w:lang w:val="en-US"/>
        </w:rPr>
        <w:t>CgA</w:t>
      </w:r>
      <w:proofErr w:type="spellEnd"/>
      <w:r w:rsidR="00545AF0" w:rsidRPr="00D2553E">
        <w:rPr>
          <w:rFonts w:ascii="Times New Roman" w:hAnsi="Times New Roman" w:cs="Times New Roman"/>
          <w:sz w:val="28"/>
          <w:szCs w:val="28"/>
        </w:rPr>
        <w:t xml:space="preserve"> в плазме крови может оказывать влияние на результаты обследований для выявления нейроэндокринных опухолей.</w:t>
      </w:r>
    </w:p>
    <w:p w:rsidR="00D5612D" w:rsidRPr="00D2553E" w:rsidRDefault="00291CFF" w:rsidP="00673126">
      <w:pPr>
        <w:pStyle w:val="9"/>
        <w:shd w:val="clear" w:color="auto" w:fill="auto"/>
        <w:spacing w:line="360" w:lineRule="auto"/>
        <w:ind w:right="-1"/>
        <w:jc w:val="both"/>
        <w:rPr>
          <w:rStyle w:val="0pt"/>
          <w:b/>
          <w:sz w:val="28"/>
          <w:szCs w:val="28"/>
        </w:rPr>
      </w:pPr>
      <w:r w:rsidRPr="00D2553E">
        <w:rPr>
          <w:rStyle w:val="0pt"/>
          <w:b/>
          <w:sz w:val="28"/>
          <w:szCs w:val="28"/>
        </w:rPr>
        <w:t>Фармакокинетика</w:t>
      </w:r>
    </w:p>
    <w:p w:rsidR="00090ABE" w:rsidRPr="00C931F6" w:rsidRDefault="00090ABE" w:rsidP="00E469AC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C931F6">
        <w:rPr>
          <w:i/>
          <w:iCs/>
          <w:color w:val="000000"/>
          <w:sz w:val="28"/>
          <w:szCs w:val="28"/>
          <w:shd w:val="clear" w:color="auto" w:fill="FFFFFF"/>
        </w:rPr>
        <w:t>Распределение</w:t>
      </w:r>
    </w:p>
    <w:p w:rsidR="00000000" w:rsidRDefault="00090ABE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абсорбируется в тонкой кишке, обычно в течение 3-6 часов. Биодоступность после приема внутрь составляет приблизительно 60</w:t>
      </w:r>
      <w:r w:rsidR="00E469AC"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r w:rsidRPr="00C931F6">
        <w:rPr>
          <w:color w:val="000000"/>
          <w:sz w:val="28"/>
          <w:szCs w:val="28"/>
          <w:shd w:val="clear" w:color="auto" w:fill="FFFFFF"/>
        </w:rPr>
        <w:t xml:space="preserve">%. Прием пищи не влияет на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биодоступность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омепразола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>.</w:t>
      </w:r>
    </w:p>
    <w:p w:rsidR="00000000" w:rsidRDefault="00090ABE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C931F6">
        <w:rPr>
          <w:color w:val="000000"/>
          <w:sz w:val="28"/>
          <w:szCs w:val="28"/>
          <w:shd w:val="clear" w:color="auto" w:fill="FFFFFF"/>
        </w:rPr>
        <w:t xml:space="preserve">Показатель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связываемости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омепразола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с белками плазмы составляет около 95</w:t>
      </w:r>
      <w:r w:rsidR="00E469AC" w:rsidRPr="00C931F6">
        <w:rPr>
          <w:color w:val="000000"/>
          <w:sz w:val="28"/>
          <w:szCs w:val="28"/>
          <w:shd w:val="clear" w:color="auto" w:fill="FFFFFF"/>
        </w:rPr>
        <w:t> </w:t>
      </w:r>
      <w:r w:rsidRPr="00C931F6">
        <w:rPr>
          <w:color w:val="000000"/>
          <w:sz w:val="28"/>
          <w:szCs w:val="28"/>
          <w:shd w:val="clear" w:color="auto" w:fill="FFFFFF"/>
        </w:rPr>
        <w:t>%, объём распределения составляет 0,3 л/кг.</w:t>
      </w:r>
    </w:p>
    <w:p w:rsidR="00000000" w:rsidRDefault="00090ABE">
      <w:pPr>
        <w:pStyle w:val="9"/>
        <w:spacing w:line="360" w:lineRule="auto"/>
        <w:ind w:left="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C931F6">
        <w:rPr>
          <w:i/>
          <w:iCs/>
          <w:color w:val="000000"/>
          <w:sz w:val="28"/>
          <w:szCs w:val="28"/>
          <w:shd w:val="clear" w:color="auto" w:fill="FFFFFF"/>
        </w:rPr>
        <w:t>Метаболизм</w:t>
      </w:r>
    </w:p>
    <w:p w:rsidR="00000000" w:rsidRDefault="00090ABE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полностью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метаболизируется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в печени. Основные ферменты, участвующие в процессе метаболизма, </w:t>
      </w:r>
      <w:r w:rsidRPr="00C931F6">
        <w:rPr>
          <w:color w:val="000000"/>
          <w:sz w:val="28"/>
          <w:szCs w:val="28"/>
          <w:shd w:val="clear" w:color="auto" w:fill="FFFFFF"/>
          <w:lang w:val="en-US"/>
        </w:rPr>
        <w:t>CYP</w:t>
      </w:r>
      <w:r w:rsidRPr="00C931F6">
        <w:rPr>
          <w:color w:val="000000"/>
          <w:sz w:val="28"/>
          <w:szCs w:val="28"/>
          <w:shd w:val="clear" w:color="auto" w:fill="FFFFFF"/>
        </w:rPr>
        <w:t>2</w:t>
      </w:r>
      <w:r w:rsidRPr="00C931F6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C931F6">
        <w:rPr>
          <w:color w:val="000000"/>
          <w:sz w:val="28"/>
          <w:szCs w:val="28"/>
          <w:shd w:val="clear" w:color="auto" w:fill="FFFFFF"/>
        </w:rPr>
        <w:t xml:space="preserve">19 и </w:t>
      </w:r>
      <w:r w:rsidRPr="00C931F6">
        <w:rPr>
          <w:color w:val="000000"/>
          <w:sz w:val="28"/>
          <w:szCs w:val="28"/>
          <w:shd w:val="clear" w:color="auto" w:fill="FFFFFF"/>
          <w:lang w:val="en-US"/>
        </w:rPr>
        <w:t>CYP</w:t>
      </w:r>
      <w:r w:rsidRPr="00C931F6">
        <w:rPr>
          <w:color w:val="000000"/>
          <w:sz w:val="28"/>
          <w:szCs w:val="28"/>
          <w:shd w:val="clear" w:color="auto" w:fill="FFFFFF"/>
        </w:rPr>
        <w:t>3</w:t>
      </w:r>
      <w:r w:rsidRPr="00C931F6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C931F6">
        <w:rPr>
          <w:color w:val="000000"/>
          <w:sz w:val="28"/>
          <w:szCs w:val="28"/>
          <w:shd w:val="clear" w:color="auto" w:fill="FFFFFF"/>
        </w:rPr>
        <w:t xml:space="preserve">4. Образующиеся метаболиты -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сульфон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-, сульфид- и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гидрокси-омепразол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не оказывают значительного влияния на секрецию соляной кислоты.</w:t>
      </w:r>
    </w:p>
    <w:p w:rsidR="00000000" w:rsidRDefault="00090ABE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C931F6">
        <w:rPr>
          <w:color w:val="000000"/>
          <w:sz w:val="28"/>
          <w:szCs w:val="28"/>
          <w:shd w:val="clear" w:color="auto" w:fill="FFFFFF"/>
        </w:rPr>
        <w:t xml:space="preserve">Общий плазменный клиренс составляет 0,3-0,6 л/мин.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Биодоступность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омепразола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увеличивается приблизительно на 50</w:t>
      </w:r>
      <w:r w:rsidR="00E469AC"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r w:rsidRPr="00C931F6">
        <w:rPr>
          <w:color w:val="000000"/>
          <w:sz w:val="28"/>
          <w:szCs w:val="28"/>
          <w:shd w:val="clear" w:color="auto" w:fill="FFFFFF"/>
        </w:rPr>
        <w:t xml:space="preserve">% при повторном </w:t>
      </w:r>
      <w:r w:rsidR="00E469AC" w:rsidRPr="00C931F6">
        <w:rPr>
          <w:color w:val="000000"/>
          <w:sz w:val="28"/>
          <w:szCs w:val="28"/>
          <w:shd w:val="clear" w:color="auto" w:fill="FFFFFF"/>
        </w:rPr>
        <w:t xml:space="preserve">приеме </w:t>
      </w:r>
      <w:r w:rsidRPr="00C931F6">
        <w:rPr>
          <w:color w:val="000000"/>
          <w:sz w:val="28"/>
          <w:szCs w:val="28"/>
          <w:shd w:val="clear" w:color="auto" w:fill="FFFFFF"/>
        </w:rPr>
        <w:t>по сравнению с приемом разовой дозы.</w:t>
      </w:r>
    </w:p>
    <w:p w:rsidR="00000000" w:rsidRDefault="00090ABE">
      <w:pPr>
        <w:pStyle w:val="9"/>
        <w:spacing w:line="360" w:lineRule="auto"/>
        <w:ind w:left="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C931F6">
        <w:rPr>
          <w:i/>
          <w:iCs/>
          <w:color w:val="000000"/>
          <w:sz w:val="28"/>
          <w:szCs w:val="28"/>
          <w:shd w:val="clear" w:color="auto" w:fill="FFFFFF"/>
        </w:rPr>
        <w:t>Выведение</w:t>
      </w:r>
    </w:p>
    <w:p w:rsidR="00000000" w:rsidRDefault="00090ABE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C931F6">
        <w:rPr>
          <w:color w:val="000000"/>
          <w:sz w:val="28"/>
          <w:szCs w:val="28"/>
          <w:shd w:val="clear" w:color="auto" w:fill="FFFFFF"/>
        </w:rPr>
        <w:t>Период полувыведения составляет около 40 минут (30-90 минут). Около 80</w:t>
      </w:r>
      <w:r w:rsidR="00E469AC"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r w:rsidRPr="00C931F6">
        <w:rPr>
          <w:color w:val="000000"/>
          <w:sz w:val="28"/>
          <w:szCs w:val="28"/>
          <w:shd w:val="clear" w:color="auto" w:fill="FFFFFF"/>
        </w:rPr>
        <w:t>% выводится в виде метаболитов почками, а остальная часть - кишечником.</w:t>
      </w:r>
    </w:p>
    <w:p w:rsidR="00000000" w:rsidRDefault="00090ABE">
      <w:pPr>
        <w:pStyle w:val="9"/>
        <w:spacing w:line="360" w:lineRule="auto"/>
        <w:ind w:left="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C931F6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Особые группы пациентов</w:t>
      </w:r>
    </w:p>
    <w:p w:rsidR="00000000" w:rsidRDefault="00090ABE">
      <w:pPr>
        <w:pStyle w:val="9"/>
        <w:spacing w:line="360" w:lineRule="auto"/>
        <w:ind w:left="20"/>
        <w:jc w:val="both"/>
        <w:rPr>
          <w:color w:val="000000"/>
          <w:sz w:val="28"/>
          <w:szCs w:val="28"/>
          <w:shd w:val="clear" w:color="auto" w:fill="FFFFFF"/>
        </w:rPr>
      </w:pPr>
      <w:r w:rsidRPr="00C931F6">
        <w:rPr>
          <w:color w:val="000000"/>
          <w:sz w:val="28"/>
          <w:szCs w:val="28"/>
          <w:shd w:val="clear" w:color="auto" w:fill="FFFFFF"/>
        </w:rPr>
        <w:t xml:space="preserve">Не отмечено значительных изменений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биодоступности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омепразола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у пожилых пациентов или пациентов с нарушенной функцией почек. У пациентов с нарушенной функцией печени отмечается увеличение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биодоступности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1F6">
        <w:rPr>
          <w:color w:val="000000"/>
          <w:sz w:val="28"/>
          <w:szCs w:val="28"/>
          <w:shd w:val="clear" w:color="auto" w:fill="FFFFFF"/>
        </w:rPr>
        <w:t>омепразола</w:t>
      </w:r>
      <w:proofErr w:type="spellEnd"/>
      <w:r w:rsidRPr="00C931F6">
        <w:rPr>
          <w:color w:val="000000"/>
          <w:sz w:val="28"/>
          <w:szCs w:val="28"/>
          <w:shd w:val="clear" w:color="auto" w:fill="FFFFFF"/>
        </w:rPr>
        <w:t xml:space="preserve"> и значительное уменьшение плазменного клиренса.</w:t>
      </w:r>
    </w:p>
    <w:p w:rsidR="008656D1" w:rsidRPr="00C931F6" w:rsidRDefault="00430692" w:rsidP="00673126">
      <w:pPr>
        <w:pStyle w:val="9"/>
        <w:shd w:val="clear" w:color="auto" w:fill="auto"/>
        <w:spacing w:line="360" w:lineRule="auto"/>
        <w:ind w:left="20" w:right="20"/>
        <w:jc w:val="both"/>
        <w:rPr>
          <w:b/>
          <w:sz w:val="28"/>
          <w:szCs w:val="28"/>
        </w:rPr>
      </w:pPr>
      <w:r w:rsidRPr="00C931F6">
        <w:rPr>
          <w:b/>
          <w:sz w:val="28"/>
          <w:szCs w:val="28"/>
        </w:rPr>
        <w:t>Показания к применению</w:t>
      </w:r>
    </w:p>
    <w:p w:rsidR="00090ABE" w:rsidRPr="00090ABE" w:rsidRDefault="00090ABE" w:rsidP="00673126">
      <w:pPr>
        <w:pStyle w:val="9"/>
        <w:shd w:val="clear" w:color="auto" w:fill="auto"/>
        <w:spacing w:line="360" w:lineRule="auto"/>
        <w:ind w:left="20" w:right="20"/>
        <w:jc w:val="both"/>
        <w:rPr>
          <w:i/>
          <w:sz w:val="28"/>
          <w:szCs w:val="28"/>
        </w:rPr>
      </w:pPr>
      <w:r w:rsidRPr="00C931F6">
        <w:rPr>
          <w:i/>
          <w:sz w:val="28"/>
          <w:szCs w:val="28"/>
        </w:rPr>
        <w:t>Взрослые</w:t>
      </w:r>
    </w:p>
    <w:p w:rsidR="00090ABE" w:rsidRDefault="00D5612D" w:rsidP="00090ABE">
      <w:pPr>
        <w:pStyle w:val="ae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я</w:t>
      </w:r>
      <w:r w:rsidR="00617275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звенная болезнь желудка и двенадцатиперстной кишки (в фазе обострения и </w:t>
      </w:r>
      <w:proofErr w:type="spellStart"/>
      <w:r w:rsidR="00617275" w:rsidRPr="00D2553E">
        <w:rPr>
          <w:rStyle w:val="51"/>
          <w:rFonts w:eastAsiaTheme="minorHAnsi"/>
          <w:b w:val="0"/>
          <w:bCs w:val="0"/>
          <w:sz w:val="28"/>
          <w:szCs w:val="28"/>
        </w:rPr>
        <w:t>противорецидивное</w:t>
      </w:r>
      <w:proofErr w:type="spellEnd"/>
      <w:r w:rsidR="00617275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лечение), в т.ч. ассоциированная с </w:t>
      </w:r>
      <w:r w:rsidR="00617275" w:rsidRPr="00090ABE">
        <w:rPr>
          <w:rStyle w:val="51"/>
          <w:rFonts w:eastAsiaTheme="minorHAnsi"/>
          <w:b w:val="0"/>
          <w:bCs w:val="0"/>
          <w:i/>
          <w:sz w:val="28"/>
          <w:szCs w:val="28"/>
          <w:lang w:val="en-US"/>
        </w:rPr>
        <w:t>Helicobacter</w:t>
      </w:r>
      <w:r w:rsidR="00617275" w:rsidRPr="00090ABE">
        <w:rPr>
          <w:rStyle w:val="51"/>
          <w:rFonts w:eastAsiaTheme="minorHAnsi"/>
          <w:b w:val="0"/>
          <w:bCs w:val="0"/>
          <w:i/>
          <w:sz w:val="28"/>
          <w:szCs w:val="28"/>
        </w:rPr>
        <w:t xml:space="preserve"> </w:t>
      </w:r>
      <w:r w:rsidR="00617275" w:rsidRPr="00090ABE">
        <w:rPr>
          <w:rStyle w:val="51"/>
          <w:rFonts w:eastAsiaTheme="minorHAnsi"/>
          <w:b w:val="0"/>
          <w:bCs w:val="0"/>
          <w:i/>
          <w:sz w:val="28"/>
          <w:szCs w:val="28"/>
          <w:lang w:val="en-US"/>
        </w:rPr>
        <w:t>pylori</w:t>
      </w:r>
      <w:r w:rsidR="00617275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(в составе комплексной терапии);</w:t>
      </w:r>
    </w:p>
    <w:p w:rsidR="00090ABE" w:rsidRPr="00090ABE" w:rsidRDefault="00090ABE" w:rsidP="00090ABE">
      <w:pPr>
        <w:pStyle w:val="ae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090ABE">
        <w:rPr>
          <w:rStyle w:val="51"/>
          <w:rFonts w:eastAsiaTheme="minorHAnsi"/>
          <w:b w:val="0"/>
          <w:bCs w:val="0"/>
          <w:sz w:val="28"/>
          <w:szCs w:val="28"/>
        </w:rPr>
        <w:t>эрозивно-язвенные поражения желудка и двенадцатиперстной кишки, связанные с приемом нестероидных противовоспалительных препаратов (НПВП);</w:t>
      </w:r>
    </w:p>
    <w:p w:rsidR="00090ABE" w:rsidRPr="00C931F6" w:rsidRDefault="00D5612D" w:rsidP="00090ABE">
      <w:pPr>
        <w:pStyle w:val="ae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р</w:t>
      </w:r>
      <w:r w:rsidR="00617275" w:rsidRPr="00C931F6">
        <w:rPr>
          <w:rStyle w:val="51"/>
          <w:rFonts w:eastAsiaTheme="minorHAnsi"/>
          <w:b w:val="0"/>
          <w:bCs w:val="0"/>
          <w:sz w:val="28"/>
          <w:szCs w:val="28"/>
        </w:rPr>
        <w:t>ефлюкс-эзофагит;</w:t>
      </w:r>
    </w:p>
    <w:p w:rsidR="00090ABE" w:rsidRPr="00C931F6" w:rsidRDefault="00090ABE" w:rsidP="00090ABE">
      <w:pPr>
        <w:pStyle w:val="ae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симптоматическая </w:t>
      </w:r>
      <w:proofErr w:type="spellStart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гастроэзофагеальная</w:t>
      </w:r>
      <w:proofErr w:type="spellEnd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рефлюксная</w:t>
      </w:r>
      <w:proofErr w:type="spellEnd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 болезнь;</w:t>
      </w:r>
    </w:p>
    <w:p w:rsidR="00090ABE" w:rsidRPr="00C931F6" w:rsidRDefault="00090ABE" w:rsidP="00090ABE">
      <w:pPr>
        <w:pStyle w:val="ae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диспепсия, связанная с повышенной кислотностью;</w:t>
      </w:r>
    </w:p>
    <w:p w:rsidR="00104D3D" w:rsidRPr="00C931F6" w:rsidRDefault="00D5612D" w:rsidP="00D5612D">
      <w:pPr>
        <w:pStyle w:val="ae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с</w:t>
      </w:r>
      <w:r w:rsidR="00954C32"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индром </w:t>
      </w:r>
      <w:proofErr w:type="spellStart"/>
      <w:r w:rsidR="00954C32" w:rsidRPr="00C931F6">
        <w:rPr>
          <w:rStyle w:val="51"/>
          <w:rFonts w:eastAsiaTheme="minorHAnsi"/>
          <w:b w:val="0"/>
          <w:bCs w:val="0"/>
          <w:sz w:val="28"/>
          <w:szCs w:val="28"/>
        </w:rPr>
        <w:t>Золлингера-Эллисона</w:t>
      </w:r>
      <w:proofErr w:type="spellEnd"/>
      <w:r w:rsidR="00954C32" w:rsidRPr="00C931F6">
        <w:rPr>
          <w:rStyle w:val="51"/>
          <w:rFonts w:eastAsiaTheme="minorHAnsi"/>
          <w:b w:val="0"/>
          <w:bCs w:val="0"/>
          <w:sz w:val="28"/>
          <w:szCs w:val="28"/>
        </w:rPr>
        <w:t>.</w:t>
      </w:r>
    </w:p>
    <w:p w:rsidR="00090ABE" w:rsidRPr="00C931F6" w:rsidRDefault="00090ABE" w:rsidP="00090ABE">
      <w:pPr>
        <w:tabs>
          <w:tab w:val="left" w:pos="426"/>
        </w:tabs>
        <w:spacing w:after="0" w:line="360" w:lineRule="auto"/>
        <w:jc w:val="both"/>
        <w:rPr>
          <w:rStyle w:val="51"/>
          <w:rFonts w:eastAsiaTheme="minorHAnsi"/>
          <w:b w:val="0"/>
          <w:bCs w:val="0"/>
          <w:i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i/>
          <w:sz w:val="28"/>
          <w:szCs w:val="28"/>
        </w:rPr>
        <w:t>Дети и подростки</w:t>
      </w:r>
    </w:p>
    <w:p w:rsidR="00090ABE" w:rsidRPr="00C931F6" w:rsidRDefault="00090ABE" w:rsidP="00090ABE">
      <w:pPr>
        <w:tabs>
          <w:tab w:val="left" w:pos="426"/>
        </w:tabs>
        <w:spacing w:after="0" w:line="360" w:lineRule="auto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Дети старше 2 лет с массой тела не менее 20 кг:</w:t>
      </w:r>
    </w:p>
    <w:p w:rsidR="00090ABE" w:rsidRPr="00C931F6" w:rsidRDefault="00090ABE" w:rsidP="00090ABE">
      <w:pPr>
        <w:pStyle w:val="ae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рефлюкс-эзофагит;</w:t>
      </w:r>
    </w:p>
    <w:p w:rsidR="00090ABE" w:rsidRPr="00C931F6" w:rsidRDefault="00090ABE" w:rsidP="00090ABE">
      <w:pPr>
        <w:pStyle w:val="ae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симптоматическая </w:t>
      </w:r>
      <w:proofErr w:type="spellStart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гастроэзофагеальная</w:t>
      </w:r>
      <w:proofErr w:type="spellEnd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рефлюксная</w:t>
      </w:r>
      <w:proofErr w:type="spellEnd"/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 болезнь</w:t>
      </w:r>
      <w:r w:rsidR="001140C4" w:rsidRPr="00C931F6">
        <w:rPr>
          <w:rStyle w:val="51"/>
          <w:rFonts w:eastAsiaTheme="minorHAnsi"/>
          <w:b w:val="0"/>
          <w:bCs w:val="0"/>
          <w:sz w:val="28"/>
          <w:szCs w:val="28"/>
        </w:rPr>
        <w:t>.</w:t>
      </w: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</w:p>
    <w:p w:rsidR="00090ABE" w:rsidRPr="00C931F6" w:rsidRDefault="00090ABE" w:rsidP="00090ABE">
      <w:pPr>
        <w:pStyle w:val="ae"/>
        <w:tabs>
          <w:tab w:val="left" w:pos="426"/>
        </w:tabs>
        <w:spacing w:after="0" w:line="360" w:lineRule="auto"/>
        <w:ind w:left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>Дети старше 4 лет и подростки:</w:t>
      </w:r>
    </w:p>
    <w:p w:rsidR="00090ABE" w:rsidRPr="00C931F6" w:rsidRDefault="00090ABE" w:rsidP="00090ABE">
      <w:pPr>
        <w:pStyle w:val="ae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C931F6">
        <w:rPr>
          <w:rStyle w:val="51"/>
          <w:rFonts w:eastAsiaTheme="minorHAnsi"/>
          <w:b w:val="0"/>
          <w:bCs w:val="0"/>
          <w:sz w:val="28"/>
          <w:szCs w:val="28"/>
        </w:rPr>
        <w:t xml:space="preserve">язва двенадцатиперстной кишки, вызванная </w:t>
      </w:r>
      <w:proofErr w:type="spellStart"/>
      <w:r w:rsidRPr="00C931F6">
        <w:rPr>
          <w:rStyle w:val="51"/>
          <w:rFonts w:eastAsiaTheme="minorHAnsi"/>
          <w:b w:val="0"/>
          <w:bCs w:val="0"/>
          <w:i/>
          <w:sz w:val="28"/>
          <w:szCs w:val="28"/>
        </w:rPr>
        <w:t>Helicobacter</w:t>
      </w:r>
      <w:proofErr w:type="spellEnd"/>
      <w:r w:rsidRPr="00C931F6">
        <w:rPr>
          <w:rStyle w:val="51"/>
          <w:rFonts w:eastAsiaTheme="minorHAnsi"/>
          <w:b w:val="0"/>
          <w:bCs w:val="0"/>
          <w:i/>
          <w:sz w:val="28"/>
          <w:szCs w:val="28"/>
        </w:rPr>
        <w:t xml:space="preserve"> </w:t>
      </w:r>
      <w:proofErr w:type="spellStart"/>
      <w:r w:rsidRPr="00C931F6">
        <w:rPr>
          <w:rStyle w:val="51"/>
          <w:rFonts w:eastAsiaTheme="minorHAnsi"/>
          <w:b w:val="0"/>
          <w:bCs w:val="0"/>
          <w:i/>
          <w:sz w:val="28"/>
          <w:szCs w:val="28"/>
        </w:rPr>
        <w:t>p</w:t>
      </w:r>
      <w:proofErr w:type="spellEnd"/>
      <w:r w:rsidRPr="00C931F6">
        <w:rPr>
          <w:rStyle w:val="51"/>
          <w:rFonts w:eastAsiaTheme="minorHAnsi"/>
          <w:b w:val="0"/>
          <w:bCs w:val="0"/>
          <w:i/>
          <w:sz w:val="28"/>
          <w:szCs w:val="28"/>
          <w:lang w:val="en-US"/>
        </w:rPr>
        <w:t>y</w:t>
      </w:r>
      <w:proofErr w:type="spellStart"/>
      <w:r w:rsidRPr="00C931F6">
        <w:rPr>
          <w:rStyle w:val="51"/>
          <w:rFonts w:eastAsiaTheme="minorHAnsi"/>
          <w:b w:val="0"/>
          <w:bCs w:val="0"/>
          <w:i/>
          <w:sz w:val="28"/>
          <w:szCs w:val="28"/>
        </w:rPr>
        <w:t>lori</w:t>
      </w:r>
      <w:proofErr w:type="spellEnd"/>
      <w:r w:rsidR="001140C4" w:rsidRPr="00C931F6">
        <w:rPr>
          <w:rStyle w:val="51"/>
          <w:rFonts w:eastAsiaTheme="minorHAnsi"/>
          <w:b w:val="0"/>
          <w:bCs w:val="0"/>
          <w:i/>
          <w:sz w:val="28"/>
          <w:szCs w:val="28"/>
        </w:rPr>
        <w:t>.</w:t>
      </w:r>
    </w:p>
    <w:p w:rsidR="008656D1" w:rsidRPr="00D2553E" w:rsidRDefault="008656D1" w:rsidP="00673126">
      <w:pPr>
        <w:spacing w:after="0" w:line="360" w:lineRule="auto"/>
        <w:ind w:left="23"/>
        <w:jc w:val="both"/>
        <w:rPr>
          <w:rStyle w:val="51"/>
          <w:rFonts w:eastAsiaTheme="minorHAnsi"/>
          <w:bCs w:val="0"/>
          <w:sz w:val="28"/>
          <w:szCs w:val="28"/>
        </w:rPr>
      </w:pPr>
      <w:r w:rsidRPr="00D2553E">
        <w:rPr>
          <w:rStyle w:val="51"/>
          <w:rFonts w:eastAsiaTheme="minorHAnsi"/>
          <w:bCs w:val="0"/>
          <w:sz w:val="28"/>
          <w:szCs w:val="28"/>
        </w:rPr>
        <w:t>Противопоказания</w:t>
      </w:r>
    </w:p>
    <w:p w:rsidR="00954C32" w:rsidRPr="00D2553E" w:rsidRDefault="00D5612D" w:rsidP="00D5612D">
      <w:pPr>
        <w:pStyle w:val="ae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pacing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д</w:t>
      </w:r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ефицит сахарозы/</w:t>
      </w:r>
      <w:proofErr w:type="spellStart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изомальтазы</w:t>
      </w:r>
      <w:proofErr w:type="spellEnd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, непереносимость фруктозы, </w:t>
      </w:r>
      <w:proofErr w:type="spellStart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гл</w:t>
      </w: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юкозо-галактозная</w:t>
      </w:r>
      <w:proofErr w:type="spellEnd"/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 </w:t>
      </w:r>
      <w:proofErr w:type="spellStart"/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мальабсорбция</w:t>
      </w:r>
      <w:proofErr w:type="spellEnd"/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;</w:t>
      </w:r>
    </w:p>
    <w:p w:rsidR="00954C32" w:rsidRPr="00D2553E" w:rsidRDefault="00D5612D" w:rsidP="00D5612D">
      <w:pPr>
        <w:pStyle w:val="ae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pacing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п</w:t>
      </w:r>
      <w:r w:rsidR="00F34CB7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овышенная чувствительность к </w:t>
      </w:r>
      <w:proofErr w:type="spellStart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омепразолу</w:t>
      </w:r>
      <w:proofErr w:type="spellEnd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 и</w:t>
      </w: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ли другим компонентам препарата;</w:t>
      </w:r>
    </w:p>
    <w:p w:rsidR="00954C32" w:rsidRPr="00D2553E" w:rsidRDefault="00D5612D" w:rsidP="00D5612D">
      <w:pPr>
        <w:pStyle w:val="ae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pacing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о</w:t>
      </w:r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дновременное применение с </w:t>
      </w:r>
      <w:proofErr w:type="spellStart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нелфинавиром</w:t>
      </w:r>
      <w:proofErr w:type="spellEnd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, </w:t>
      </w:r>
      <w:proofErr w:type="spellStart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эрлотинибом</w:t>
      </w:r>
      <w:proofErr w:type="spellEnd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 и </w:t>
      </w:r>
      <w:proofErr w:type="spellStart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позаконазолом</w:t>
      </w:r>
      <w:proofErr w:type="spellEnd"/>
      <w:r w:rsidR="00954C32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, препаратами</w:t>
      </w: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 зверобоя продырявленного;</w:t>
      </w:r>
    </w:p>
    <w:p w:rsidR="00F971B4" w:rsidRPr="00D2553E" w:rsidRDefault="00D5612D" w:rsidP="00D5612D">
      <w:pPr>
        <w:pStyle w:val="ae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pacing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lastRenderedPageBreak/>
        <w:t>с</w:t>
      </w:r>
      <w:r w:rsidR="00F971B4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овместное применение с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кларитромицином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 xml:space="preserve"> у пациенто</w:t>
      </w:r>
      <w:r w:rsidRPr="00D2553E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в с печеночной недостаточностью;</w:t>
      </w:r>
    </w:p>
    <w:p w:rsidR="00F971B4" w:rsidRPr="00C931F6" w:rsidRDefault="000A3FA8" w:rsidP="00D5612D">
      <w:pPr>
        <w:pStyle w:val="ae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pacing w:val="0"/>
          <w:sz w:val="28"/>
          <w:szCs w:val="28"/>
        </w:rPr>
      </w:pPr>
      <w:r w:rsidRPr="00C931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етский возраст до 2 лет</w:t>
      </w:r>
      <w:r w:rsidR="00D5612D" w:rsidRPr="00C931F6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;</w:t>
      </w:r>
    </w:p>
    <w:p w:rsidR="00F34CB7" w:rsidRPr="00C931F6" w:rsidRDefault="000A3FA8" w:rsidP="00F34CB7">
      <w:pPr>
        <w:pStyle w:val="ae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pacing w:val="0"/>
          <w:sz w:val="28"/>
          <w:szCs w:val="28"/>
        </w:rPr>
      </w:pPr>
      <w:r w:rsidRPr="00C931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етский возраст старше 2 лет по другим показаниям, кроме лечения </w:t>
      </w:r>
      <w:proofErr w:type="spellStart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рефлюкс</w:t>
      </w:r>
      <w:r w:rsidR="002B48FB" w:rsidRPr="00C931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эзофагита</w:t>
      </w:r>
      <w:proofErr w:type="spellEnd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 и симптоматической </w:t>
      </w:r>
      <w:proofErr w:type="spellStart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гастроэзофагеальной</w:t>
      </w:r>
      <w:proofErr w:type="spellEnd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рефлюксной</w:t>
      </w:r>
      <w:proofErr w:type="spellEnd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 болезни</w:t>
      </w:r>
      <w:r w:rsidR="00D5612D" w:rsidRPr="00C931F6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;</w:t>
      </w:r>
    </w:p>
    <w:p w:rsidR="00F971B4" w:rsidRPr="00C931F6" w:rsidRDefault="000A3FA8" w:rsidP="00F34CB7">
      <w:pPr>
        <w:pStyle w:val="ae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1F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етский возраст старше 4 лет по другим показаниям, кроме лечения </w:t>
      </w:r>
      <w:proofErr w:type="spellStart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рефлюкс</w:t>
      </w:r>
      <w:r w:rsidR="002B48FB" w:rsidRPr="00C931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эзофагита</w:t>
      </w:r>
      <w:proofErr w:type="spellEnd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, симптоматической </w:t>
      </w:r>
      <w:proofErr w:type="spellStart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гастроэзофагеальной</w:t>
      </w:r>
      <w:proofErr w:type="spellEnd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>рефлюксной</w:t>
      </w:r>
      <w:proofErr w:type="spellEnd"/>
      <w:r w:rsidR="00F34CB7" w:rsidRPr="00C931F6">
        <w:rPr>
          <w:rFonts w:ascii="Times New Roman" w:hAnsi="Times New Roman" w:cs="Times New Roman"/>
          <w:color w:val="000000"/>
          <w:sz w:val="28"/>
          <w:szCs w:val="28"/>
        </w:rPr>
        <w:t xml:space="preserve"> болезни и язвы двенадцатиперстной кишки, вызванной </w:t>
      </w:r>
      <w:r w:rsidR="00F34CB7" w:rsidRPr="00C931F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Helicobacter</w:t>
      </w:r>
      <w:r w:rsidR="00F34CB7" w:rsidRPr="00C931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34CB7" w:rsidRPr="00C931F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pylori</w:t>
      </w:r>
      <w:r w:rsidR="00F971B4" w:rsidRPr="00C931F6">
        <w:rPr>
          <w:rStyle w:val="51"/>
          <w:rFonts w:eastAsiaTheme="minorHAnsi"/>
          <w:b w:val="0"/>
          <w:bCs w:val="0"/>
          <w:spacing w:val="0"/>
          <w:sz w:val="28"/>
          <w:szCs w:val="28"/>
        </w:rPr>
        <w:t>.</w:t>
      </w:r>
    </w:p>
    <w:p w:rsidR="008656D1" w:rsidRPr="00D2553E" w:rsidRDefault="008656D1" w:rsidP="00673126">
      <w:pPr>
        <w:spacing w:after="0" w:line="360" w:lineRule="auto"/>
        <w:ind w:left="23"/>
        <w:jc w:val="both"/>
        <w:rPr>
          <w:rStyle w:val="51"/>
          <w:rFonts w:eastAsiaTheme="minorHAnsi"/>
          <w:bCs w:val="0"/>
          <w:sz w:val="28"/>
          <w:szCs w:val="28"/>
        </w:rPr>
      </w:pPr>
      <w:r w:rsidRPr="00D2553E">
        <w:rPr>
          <w:rStyle w:val="51"/>
          <w:rFonts w:eastAsiaTheme="minorHAnsi"/>
          <w:bCs w:val="0"/>
          <w:sz w:val="28"/>
          <w:szCs w:val="28"/>
        </w:rPr>
        <w:t>С осторожностью</w:t>
      </w:r>
    </w:p>
    <w:p w:rsidR="00F971B4" w:rsidRPr="00D2553E" w:rsidRDefault="002246C1" w:rsidP="002246C1">
      <w:pPr>
        <w:pStyle w:val="ae"/>
        <w:numPr>
          <w:ilvl w:val="0"/>
          <w:numId w:val="7"/>
        </w:numPr>
        <w:spacing w:after="0" w:line="360" w:lineRule="auto"/>
        <w:ind w:left="426" w:hanging="426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п</w:t>
      </w:r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очечная и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/или печеночная недостаточность;</w:t>
      </w:r>
    </w:p>
    <w:p w:rsidR="00F971B4" w:rsidRPr="00D2553E" w:rsidRDefault="002246C1" w:rsidP="002246C1">
      <w:pPr>
        <w:pStyle w:val="ae"/>
        <w:numPr>
          <w:ilvl w:val="0"/>
          <w:numId w:val="7"/>
        </w:numPr>
        <w:spacing w:after="0" w:line="360" w:lineRule="auto"/>
        <w:ind w:left="426" w:hanging="426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пациентам с остеопорозом;</w:t>
      </w:r>
    </w:p>
    <w:p w:rsidR="00F971B4" w:rsidRPr="00D2553E" w:rsidRDefault="002246C1" w:rsidP="002246C1">
      <w:pPr>
        <w:pStyle w:val="ae"/>
        <w:numPr>
          <w:ilvl w:val="0"/>
          <w:numId w:val="7"/>
        </w:numPr>
        <w:spacing w:after="0" w:line="360" w:lineRule="auto"/>
        <w:ind w:left="426" w:hanging="426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беременность;</w:t>
      </w:r>
    </w:p>
    <w:p w:rsidR="00F971B4" w:rsidRPr="00D2553E" w:rsidRDefault="002246C1" w:rsidP="002246C1">
      <w:pPr>
        <w:pStyle w:val="ae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о</w:t>
      </w:r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дновременное применение с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атазанавиром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(доза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не должна превышать 20 мг в сутки),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клопидогрелом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итраконазолом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варфарином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цилостазолом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диазепамом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фенитоином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саквинавиром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такролимусом</w:t>
      </w:r>
      <w:proofErr w:type="spellEnd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>кларитромицин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ом</w:t>
      </w:r>
      <w:proofErr w:type="spellEnd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вориконазолом</w:t>
      </w:r>
      <w:proofErr w:type="spellEnd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рифампицином</w:t>
      </w:r>
      <w:proofErr w:type="spellEnd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;</w:t>
      </w:r>
    </w:p>
    <w:p w:rsidR="00F971B4" w:rsidRPr="00D2553E" w:rsidRDefault="002246C1" w:rsidP="002246C1">
      <w:pPr>
        <w:pStyle w:val="ae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н</w:t>
      </w:r>
      <w:r w:rsidR="007D7BBF" w:rsidRPr="00D2553E">
        <w:rPr>
          <w:rStyle w:val="51"/>
          <w:rFonts w:eastAsiaTheme="minorHAnsi"/>
          <w:b w:val="0"/>
          <w:bCs w:val="0"/>
          <w:sz w:val="28"/>
          <w:szCs w:val="28"/>
        </w:rPr>
        <w:t>аличие «тревожных» симп</w:t>
      </w:r>
      <w:r w:rsidR="00F971B4"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томов: значительное снижение массы тела, повторяющаяся рвота, рвота с примесью крови, нарушение глотания, изменение цвета кала 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(дегтеобразный стул);</w:t>
      </w:r>
    </w:p>
    <w:p w:rsidR="007D7BBF" w:rsidRPr="00D2553E" w:rsidRDefault="002246C1" w:rsidP="002246C1">
      <w:pPr>
        <w:pStyle w:val="ae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д</w:t>
      </w:r>
      <w:r w:rsidR="007D7BBF" w:rsidRPr="00D2553E">
        <w:rPr>
          <w:rStyle w:val="51"/>
          <w:rFonts w:eastAsiaTheme="minorHAnsi"/>
          <w:b w:val="0"/>
          <w:bCs w:val="0"/>
          <w:sz w:val="28"/>
          <w:szCs w:val="28"/>
        </w:rPr>
        <w:t>ефицит витамина В12 (</w:t>
      </w:r>
      <w:proofErr w:type="spellStart"/>
      <w:r w:rsidR="007D7BBF" w:rsidRPr="00D2553E">
        <w:rPr>
          <w:rStyle w:val="51"/>
          <w:rFonts w:eastAsiaTheme="minorHAnsi"/>
          <w:b w:val="0"/>
          <w:bCs w:val="0"/>
          <w:sz w:val="28"/>
          <w:szCs w:val="28"/>
        </w:rPr>
        <w:t>цианокобаламина</w:t>
      </w:r>
      <w:proofErr w:type="spellEnd"/>
      <w:r w:rsidR="007D7BBF" w:rsidRPr="00D2553E">
        <w:rPr>
          <w:rStyle w:val="51"/>
          <w:rFonts w:eastAsiaTheme="minorHAnsi"/>
          <w:b w:val="0"/>
          <w:bCs w:val="0"/>
          <w:sz w:val="28"/>
          <w:szCs w:val="28"/>
        </w:rPr>
        <w:t>).</w:t>
      </w:r>
    </w:p>
    <w:p w:rsidR="00A169BE" w:rsidRPr="00D2553E" w:rsidRDefault="0011766E" w:rsidP="006731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 xml:space="preserve">Применение при беременности и </w:t>
      </w:r>
      <w:r w:rsidR="00412B05" w:rsidRPr="00D2553E">
        <w:rPr>
          <w:rFonts w:ascii="Times New Roman" w:hAnsi="Times New Roman" w:cs="Times New Roman"/>
          <w:b/>
          <w:sz w:val="28"/>
          <w:szCs w:val="28"/>
        </w:rPr>
        <w:t>в период грудного вскармливания</w:t>
      </w:r>
    </w:p>
    <w:p w:rsidR="00104D3D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>Препарат разрешен для применения при беременности и в период грудного вскармливания.</w:t>
      </w:r>
    </w:p>
    <w:p w:rsidR="0011766E" w:rsidRPr="00D2553E" w:rsidRDefault="00412B05" w:rsidP="006731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3E">
        <w:rPr>
          <w:rFonts w:ascii="Times New Roman" w:hAnsi="Times New Roman" w:cs="Times New Roman"/>
          <w:b/>
          <w:sz w:val="28"/>
          <w:szCs w:val="28"/>
        </w:rPr>
        <w:t>Способ применения и дозы</w:t>
      </w:r>
    </w:p>
    <w:p w:rsidR="007D7BBF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t>Внутрь, запивая небольшим количеством воды (содержимое капсулы нельзя разжевывать).</w:t>
      </w:r>
    </w:p>
    <w:p w:rsidR="007D7BBF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 xml:space="preserve">Язвенная болезнь двенадцатиперстной кишки в фазе обострения – </w:t>
      </w:r>
      <w:r w:rsidRPr="00D2553E">
        <w:rPr>
          <w:rFonts w:ascii="Times New Roman" w:hAnsi="Times New Roman" w:cs="Times New Roman"/>
          <w:sz w:val="28"/>
          <w:szCs w:val="28"/>
        </w:rPr>
        <w:t>по 20 мг в сутки в течение 2-4 недель (в резистентных случаях до 40 мг в сутки).</w:t>
      </w:r>
    </w:p>
    <w:p w:rsidR="007D7BBF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Язвенная болезнь желудка в фазе обострения и эрозивно-язвенный эзофагит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по 20-40 мг в сутки в течение 4-8 недель.</w:t>
      </w:r>
    </w:p>
    <w:p w:rsidR="007D7BBF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lastRenderedPageBreak/>
        <w:t>Эрозивно-язвенные поражения желудочно-кишечного тракта, вызванные приемом НПВП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по 20 мг в сутки в течение 4-8 недель.</w:t>
      </w:r>
    </w:p>
    <w:p w:rsidR="007D7BBF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 xml:space="preserve">Эрадикация </w:t>
      </w:r>
      <w:r w:rsidRPr="00D2553E">
        <w:rPr>
          <w:rFonts w:ascii="Times New Roman" w:hAnsi="Times New Roman" w:cs="Times New Roman"/>
          <w:i/>
          <w:sz w:val="28"/>
          <w:szCs w:val="28"/>
          <w:lang w:val="en-US"/>
        </w:rPr>
        <w:t>Helicobacter</w:t>
      </w:r>
      <w:r w:rsidRPr="00D25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53E">
        <w:rPr>
          <w:rFonts w:ascii="Times New Roman" w:hAnsi="Times New Roman" w:cs="Times New Roman"/>
          <w:i/>
          <w:sz w:val="28"/>
          <w:szCs w:val="28"/>
          <w:lang w:val="en-US"/>
        </w:rPr>
        <w:t>pylori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по 20 мг 2 раза в сутки в т</w:t>
      </w:r>
      <w:r w:rsidR="002246C1" w:rsidRPr="00D2553E">
        <w:rPr>
          <w:rFonts w:ascii="Times New Roman" w:hAnsi="Times New Roman" w:cs="Times New Roman"/>
          <w:sz w:val="28"/>
          <w:szCs w:val="28"/>
        </w:rPr>
        <w:t>е</w:t>
      </w:r>
      <w:r w:rsidRPr="00D2553E">
        <w:rPr>
          <w:rFonts w:ascii="Times New Roman" w:hAnsi="Times New Roman" w:cs="Times New Roman"/>
          <w:sz w:val="28"/>
          <w:szCs w:val="28"/>
        </w:rPr>
        <w:t>чение 7 или 14 дней (в зависимости от применяемой схемы лечения) в сочетании с антибактериальными средствами.</w:t>
      </w:r>
    </w:p>
    <w:p w:rsidR="007D7BBF" w:rsidRPr="00D2553E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3E">
        <w:rPr>
          <w:rFonts w:ascii="Times New Roman" w:hAnsi="Times New Roman" w:cs="Times New Roman"/>
          <w:i/>
          <w:sz w:val="28"/>
          <w:szCs w:val="28"/>
        </w:rPr>
        <w:t>Противорецидивное</w:t>
      </w:r>
      <w:proofErr w:type="spellEnd"/>
      <w:r w:rsidRPr="00D2553E">
        <w:rPr>
          <w:rFonts w:ascii="Times New Roman" w:hAnsi="Times New Roman" w:cs="Times New Roman"/>
          <w:i/>
          <w:sz w:val="28"/>
          <w:szCs w:val="28"/>
        </w:rPr>
        <w:t xml:space="preserve"> лечение язвенной болезни желудка и 12-перстной кишки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по 20 мг в сутки.</w:t>
      </w:r>
    </w:p>
    <w:p w:rsidR="007D7BBF" w:rsidRDefault="007D7BBF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53E">
        <w:rPr>
          <w:rFonts w:ascii="Times New Roman" w:hAnsi="Times New Roman" w:cs="Times New Roman"/>
          <w:i/>
          <w:sz w:val="28"/>
          <w:szCs w:val="28"/>
        </w:rPr>
        <w:t>Противорецидивное</w:t>
      </w:r>
      <w:proofErr w:type="spellEnd"/>
      <w:r w:rsidRPr="00D2553E">
        <w:rPr>
          <w:rFonts w:ascii="Times New Roman" w:hAnsi="Times New Roman" w:cs="Times New Roman"/>
          <w:i/>
          <w:sz w:val="28"/>
          <w:szCs w:val="28"/>
        </w:rPr>
        <w:t xml:space="preserve"> лечение </w:t>
      </w:r>
      <w:proofErr w:type="spellStart"/>
      <w:r w:rsidRPr="00D2553E">
        <w:rPr>
          <w:rFonts w:ascii="Times New Roman" w:hAnsi="Times New Roman" w:cs="Times New Roman"/>
          <w:i/>
          <w:sz w:val="28"/>
          <w:szCs w:val="28"/>
        </w:rPr>
        <w:t>рефлюкс-эзофагита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– по 20 мг в сутки в течение длительного времени (до 6 месяцев). Прием по требованию (симптоматическое лечение).</w:t>
      </w:r>
    </w:p>
    <w:p w:rsidR="00F95903" w:rsidRPr="00C931F6" w:rsidRDefault="00F95903" w:rsidP="0067312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31F6">
        <w:rPr>
          <w:rFonts w:ascii="Times New Roman" w:hAnsi="Times New Roman" w:cs="Times New Roman"/>
          <w:i/>
          <w:sz w:val="28"/>
          <w:szCs w:val="28"/>
        </w:rPr>
        <w:t xml:space="preserve">Симптоматическая </w:t>
      </w:r>
      <w:proofErr w:type="spellStart"/>
      <w:r w:rsidRPr="00C931F6">
        <w:rPr>
          <w:rFonts w:ascii="Times New Roman" w:hAnsi="Times New Roman" w:cs="Times New Roman"/>
          <w:i/>
          <w:sz w:val="28"/>
          <w:szCs w:val="28"/>
        </w:rPr>
        <w:t>гастроэзофагеальная</w:t>
      </w:r>
      <w:proofErr w:type="spellEnd"/>
      <w:r w:rsidRPr="00C931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1F6">
        <w:rPr>
          <w:rFonts w:ascii="Times New Roman" w:hAnsi="Times New Roman" w:cs="Times New Roman"/>
          <w:i/>
          <w:sz w:val="28"/>
          <w:szCs w:val="28"/>
        </w:rPr>
        <w:t>рефлюксная</w:t>
      </w:r>
      <w:proofErr w:type="spellEnd"/>
      <w:r w:rsidRPr="00C931F6">
        <w:rPr>
          <w:rFonts w:ascii="Times New Roman" w:hAnsi="Times New Roman" w:cs="Times New Roman"/>
          <w:i/>
          <w:sz w:val="28"/>
          <w:szCs w:val="28"/>
        </w:rPr>
        <w:t xml:space="preserve"> болезнь</w:t>
      </w:r>
      <w:r w:rsidRPr="00C931F6">
        <w:rPr>
          <w:rFonts w:ascii="Times New Roman" w:hAnsi="Times New Roman" w:cs="Times New Roman"/>
          <w:sz w:val="28"/>
          <w:szCs w:val="28"/>
        </w:rPr>
        <w:t xml:space="preserve"> -</w:t>
      </w:r>
      <w:r w:rsidRPr="00C931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31F6">
        <w:rPr>
          <w:rFonts w:ascii="Times New Roman" w:hAnsi="Times New Roman" w:cs="Times New Roman"/>
          <w:iCs/>
          <w:sz w:val="28"/>
          <w:szCs w:val="28"/>
        </w:rPr>
        <w:t>по 20 мг в сутки в течение 4 недель.</w:t>
      </w:r>
    </w:p>
    <w:p w:rsidR="00F95903" w:rsidRPr="00F95903" w:rsidRDefault="00F95903" w:rsidP="0067312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1F6">
        <w:rPr>
          <w:rFonts w:ascii="Times New Roman" w:hAnsi="Times New Roman" w:cs="Times New Roman"/>
          <w:i/>
          <w:iCs/>
          <w:sz w:val="28"/>
          <w:szCs w:val="28"/>
        </w:rPr>
        <w:t>Диспепсия, связанная с повышенной кислотностью</w:t>
      </w:r>
      <w:r w:rsidRPr="00C931F6">
        <w:rPr>
          <w:rFonts w:ascii="Times New Roman" w:hAnsi="Times New Roman" w:cs="Times New Roman"/>
          <w:iCs/>
          <w:sz w:val="28"/>
          <w:szCs w:val="28"/>
        </w:rPr>
        <w:t xml:space="preserve"> - по 20 мг в сутки в течение 4</w:t>
      </w:r>
      <w:r w:rsidR="002B48FB" w:rsidRPr="00C931F6">
        <w:rPr>
          <w:rFonts w:ascii="Times New Roman" w:hAnsi="Times New Roman" w:cs="Times New Roman"/>
          <w:iCs/>
          <w:sz w:val="28"/>
          <w:szCs w:val="28"/>
        </w:rPr>
        <w:t> </w:t>
      </w:r>
      <w:r w:rsidRPr="00C931F6">
        <w:rPr>
          <w:rFonts w:ascii="Times New Roman" w:hAnsi="Times New Roman" w:cs="Times New Roman"/>
          <w:iCs/>
          <w:sz w:val="28"/>
          <w:szCs w:val="28"/>
        </w:rPr>
        <w:t>недель.</w:t>
      </w:r>
    </w:p>
    <w:p w:rsidR="00457288" w:rsidRDefault="00457288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 xml:space="preserve">Синдром </w:t>
      </w:r>
      <w:proofErr w:type="spellStart"/>
      <w:r w:rsidRPr="00D2553E">
        <w:rPr>
          <w:rFonts w:ascii="Times New Roman" w:hAnsi="Times New Roman" w:cs="Times New Roman"/>
          <w:i/>
          <w:sz w:val="28"/>
          <w:szCs w:val="28"/>
        </w:rPr>
        <w:t>Золлингера-Эллисона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– доза подбирается индивидуально в зависимости от исходного уровня желудочной секреции, обычно начиная с 60 мг в сутки. При необходимости дозу увеличивают до 80-120 мг в сутки, в этом случае ее делят на два приема.</w:t>
      </w:r>
    </w:p>
    <w:p w:rsidR="00F95903" w:rsidRPr="00C931F6" w:rsidRDefault="00F95903" w:rsidP="00F9590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31F6">
        <w:rPr>
          <w:rFonts w:ascii="Times New Roman" w:hAnsi="Times New Roman" w:cs="Times New Roman"/>
          <w:i/>
          <w:iCs/>
          <w:sz w:val="28"/>
          <w:szCs w:val="28"/>
        </w:rPr>
        <w:t>Дети и подростки</w:t>
      </w:r>
    </w:p>
    <w:p w:rsidR="00F95903" w:rsidRPr="00C931F6" w:rsidRDefault="00F95903" w:rsidP="00F9590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931F6">
        <w:rPr>
          <w:rFonts w:ascii="Times New Roman" w:hAnsi="Times New Roman" w:cs="Times New Roman"/>
          <w:i/>
          <w:iCs/>
          <w:sz w:val="28"/>
          <w:szCs w:val="28"/>
        </w:rPr>
        <w:t>Рефлюкс-эзофагит</w:t>
      </w:r>
      <w:proofErr w:type="spellEnd"/>
      <w:r w:rsidRPr="00C931F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C931F6">
        <w:rPr>
          <w:rFonts w:ascii="Times New Roman" w:hAnsi="Times New Roman" w:cs="Times New Roman"/>
          <w:i/>
          <w:iCs/>
          <w:sz w:val="28"/>
          <w:szCs w:val="28"/>
        </w:rPr>
        <w:t>гастроэзофагеальная</w:t>
      </w:r>
      <w:proofErr w:type="spellEnd"/>
      <w:r w:rsidRPr="00C931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931F6">
        <w:rPr>
          <w:rFonts w:ascii="Times New Roman" w:hAnsi="Times New Roman" w:cs="Times New Roman"/>
          <w:i/>
          <w:iCs/>
          <w:sz w:val="28"/>
          <w:szCs w:val="28"/>
        </w:rPr>
        <w:t>рефлюксная</w:t>
      </w:r>
      <w:proofErr w:type="spellEnd"/>
      <w:r w:rsidRPr="00C931F6">
        <w:rPr>
          <w:rFonts w:ascii="Times New Roman" w:hAnsi="Times New Roman" w:cs="Times New Roman"/>
          <w:i/>
          <w:iCs/>
          <w:sz w:val="28"/>
          <w:szCs w:val="28"/>
        </w:rPr>
        <w:t xml:space="preserve"> болезнь </w:t>
      </w:r>
    </w:p>
    <w:p w:rsidR="00F95903" w:rsidRPr="00C931F6" w:rsidRDefault="00F95903" w:rsidP="00F95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F6">
        <w:rPr>
          <w:rFonts w:ascii="Times New Roman" w:hAnsi="Times New Roman" w:cs="Times New Roman"/>
          <w:sz w:val="28"/>
          <w:szCs w:val="28"/>
        </w:rPr>
        <w:t>Детям старше 2 лет с массой тела более 20 кг препарат назначают в дозе 20 мг 1</w:t>
      </w:r>
      <w:r w:rsidR="002B48FB" w:rsidRPr="00C931F6">
        <w:rPr>
          <w:rFonts w:ascii="Times New Roman" w:hAnsi="Times New Roman" w:cs="Times New Roman"/>
          <w:sz w:val="28"/>
          <w:szCs w:val="28"/>
        </w:rPr>
        <w:t> </w:t>
      </w:r>
      <w:r w:rsidRPr="00C931F6">
        <w:rPr>
          <w:rFonts w:ascii="Times New Roman" w:hAnsi="Times New Roman" w:cs="Times New Roman"/>
          <w:sz w:val="28"/>
          <w:szCs w:val="28"/>
        </w:rPr>
        <w:t xml:space="preserve">раз в сутки. При необходимости возможно увеличение дозы до 40 мг один раз в сутки. Рекомендуемая продолжительность лечения в случае рефлюкс-эзофагита составляет 4-8 недель, в случае симптоматической </w:t>
      </w:r>
      <w:proofErr w:type="spellStart"/>
      <w:r w:rsidRPr="00C931F6"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 w:rsidRPr="00C93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F6"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 w:rsidRPr="00C931F6">
        <w:rPr>
          <w:rFonts w:ascii="Times New Roman" w:hAnsi="Times New Roman" w:cs="Times New Roman"/>
          <w:sz w:val="28"/>
          <w:szCs w:val="28"/>
        </w:rPr>
        <w:t xml:space="preserve"> болезни - 2-4 недели. Если после 2-4 недель симптомы не исчезают, рекомендуется дополнительное обследование пациента.</w:t>
      </w:r>
    </w:p>
    <w:p w:rsidR="00F95903" w:rsidRPr="00C931F6" w:rsidRDefault="00690CD9" w:rsidP="00F95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Язва двенадцатиперстной кишки, вызванная </w:t>
      </w:r>
      <w:r w:rsidRPr="00690CD9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Helicobacter</w:t>
      </w:r>
      <w:r w:rsidRPr="00690CD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90CD9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pylori</w:t>
      </w:r>
      <w:r w:rsidRPr="00690CD9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- </w:t>
      </w:r>
      <w:r w:rsidRPr="00690CD9">
        <w:rPr>
          <w:rFonts w:ascii="Times New Roman" w:hAnsi="Times New Roman" w:cs="Times New Roman"/>
          <w:spacing w:val="-6"/>
          <w:sz w:val="28"/>
          <w:szCs w:val="28"/>
        </w:rPr>
        <w:t>по 20 мг 1-2 раза в сутки в течение 7-14 дней</w:t>
      </w:r>
      <w:r w:rsidR="00F95903" w:rsidRPr="00C931F6">
        <w:rPr>
          <w:rFonts w:ascii="Times New Roman" w:hAnsi="Times New Roman" w:cs="Times New Roman"/>
          <w:sz w:val="28"/>
          <w:szCs w:val="28"/>
        </w:rPr>
        <w:t xml:space="preserve"> (в зависимости от применяемой схемы лечения) в сочетании с антибактериальными средствами.</w:t>
      </w:r>
    </w:p>
    <w:p w:rsidR="00F95903" w:rsidRPr="00C931F6" w:rsidRDefault="00F95903" w:rsidP="00F95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1F6">
        <w:rPr>
          <w:rFonts w:ascii="Times New Roman" w:hAnsi="Times New Roman" w:cs="Times New Roman"/>
          <w:i/>
          <w:sz w:val="28"/>
          <w:szCs w:val="28"/>
        </w:rPr>
        <w:t>Особые группы пациентов</w:t>
      </w:r>
    </w:p>
    <w:p w:rsidR="00F95903" w:rsidRPr="00C931F6" w:rsidRDefault="00F95903" w:rsidP="00F9590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31F6">
        <w:rPr>
          <w:rFonts w:ascii="Times New Roman" w:hAnsi="Times New Roman" w:cs="Times New Roman"/>
          <w:iCs/>
          <w:sz w:val="28"/>
          <w:szCs w:val="28"/>
        </w:rPr>
        <w:t>Для пациентов с нарушением функции почек корректировка дозы не требуется.</w:t>
      </w:r>
    </w:p>
    <w:p w:rsidR="00F95903" w:rsidRPr="00D2553E" w:rsidRDefault="00F95903" w:rsidP="00F95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F6">
        <w:rPr>
          <w:rFonts w:ascii="Times New Roman" w:hAnsi="Times New Roman" w:cs="Times New Roman"/>
          <w:iCs/>
          <w:sz w:val="28"/>
          <w:szCs w:val="28"/>
        </w:rPr>
        <w:t>Для пациентов пожилого возраста корректировка дозы не требуется.</w:t>
      </w:r>
    </w:p>
    <w:p w:rsidR="00457288" w:rsidRPr="00D2553E" w:rsidRDefault="00321473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sz w:val="28"/>
          <w:szCs w:val="28"/>
        </w:rPr>
        <w:lastRenderedPageBreak/>
        <w:t>У больных с</w:t>
      </w:r>
      <w:r w:rsidR="00457288" w:rsidRPr="00D2553E">
        <w:rPr>
          <w:rFonts w:ascii="Times New Roman" w:hAnsi="Times New Roman" w:cs="Times New Roman"/>
          <w:sz w:val="28"/>
          <w:szCs w:val="28"/>
        </w:rPr>
        <w:t xml:space="preserve"> тяжелой печеночной недостаточностью суточная доза не должна превышать 20 мг.</w:t>
      </w:r>
    </w:p>
    <w:p w:rsidR="0080625D" w:rsidRPr="00E06BD4" w:rsidRDefault="0080625D" w:rsidP="00673126">
      <w:pPr>
        <w:spacing w:after="0" w:line="360" w:lineRule="auto"/>
        <w:jc w:val="both"/>
        <w:rPr>
          <w:rStyle w:val="51"/>
          <w:rFonts w:eastAsiaTheme="minorHAnsi"/>
          <w:bCs w:val="0"/>
          <w:sz w:val="28"/>
          <w:szCs w:val="28"/>
          <w:lang w:val="en-US"/>
        </w:rPr>
      </w:pPr>
      <w:r w:rsidRPr="00D2553E">
        <w:rPr>
          <w:rStyle w:val="51"/>
          <w:rFonts w:eastAsiaTheme="minorHAnsi"/>
          <w:bCs w:val="0"/>
          <w:sz w:val="28"/>
          <w:szCs w:val="28"/>
        </w:rPr>
        <w:t>Побочное действие</w:t>
      </w:r>
    </w:p>
    <w:p w:rsidR="00315B63" w:rsidRPr="00D2553E" w:rsidRDefault="00315B63" w:rsidP="00673126">
      <w:pPr>
        <w:spacing w:after="0" w:line="360" w:lineRule="auto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proofErr w:type="gramStart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Частота развития </w:t>
      </w:r>
      <w:r w:rsidR="00321473" w:rsidRPr="00D2553E">
        <w:rPr>
          <w:rStyle w:val="51"/>
          <w:rFonts w:eastAsiaTheme="minorHAnsi"/>
          <w:b w:val="0"/>
          <w:bCs w:val="0"/>
          <w:sz w:val="28"/>
          <w:szCs w:val="28"/>
        </w:rPr>
        <w:t>побочных реакций классифицирована согласно рекомендациям ВОЗ: очень часто &gt;1/10, часто от &gt; 1/100 до &lt; 1/10, нечасто от &gt;</w:t>
      </w:r>
      <w:r w:rsidR="006179E8" w:rsidRPr="00D2553E">
        <w:rPr>
          <w:rStyle w:val="51"/>
          <w:rFonts w:eastAsiaTheme="minorHAnsi"/>
          <w:b w:val="0"/>
          <w:bCs w:val="0"/>
          <w:sz w:val="28"/>
          <w:szCs w:val="28"/>
        </w:rPr>
        <w:t> </w:t>
      </w:r>
      <w:r w:rsidR="00321473" w:rsidRPr="00D2553E">
        <w:rPr>
          <w:rStyle w:val="51"/>
          <w:rFonts w:eastAsiaTheme="minorHAnsi"/>
          <w:b w:val="0"/>
          <w:bCs w:val="0"/>
          <w:sz w:val="28"/>
          <w:szCs w:val="28"/>
        </w:rPr>
        <w:t>1/1000 до &lt; 1/100, редко &gt; 1/10000 до &lt; 1/1000, очень редко от &lt; 1/10000, включая отдельные случаи, частота неизвестна – по име</w:t>
      </w:r>
      <w:r w:rsidR="00503C2F" w:rsidRPr="00D2553E">
        <w:rPr>
          <w:rStyle w:val="51"/>
          <w:rFonts w:eastAsiaTheme="minorHAnsi"/>
          <w:b w:val="0"/>
          <w:bCs w:val="0"/>
          <w:sz w:val="28"/>
          <w:szCs w:val="28"/>
        </w:rPr>
        <w:t>ющимся данным установить частоту возникновения не предоставлялось возможным.</w:t>
      </w:r>
      <w:proofErr w:type="gramEnd"/>
    </w:p>
    <w:p w:rsidR="004B4099" w:rsidRPr="00D2553E" w:rsidRDefault="004B4099" w:rsidP="00673126">
      <w:pPr>
        <w:spacing w:after="0" w:line="360" w:lineRule="auto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D2553E">
        <w:rPr>
          <w:rStyle w:val="51"/>
          <w:rFonts w:eastAsiaTheme="minorHAnsi"/>
          <w:b w:val="0"/>
          <w:bCs w:val="0"/>
          <w:i/>
          <w:sz w:val="28"/>
          <w:szCs w:val="28"/>
        </w:rPr>
        <w:t>Со стороны органов пищеварения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: </w:t>
      </w:r>
      <w:r w:rsidRPr="00D2553E">
        <w:rPr>
          <w:rStyle w:val="51"/>
          <w:rFonts w:eastAsiaTheme="minorHAnsi"/>
          <w:b w:val="0"/>
          <w:bCs w:val="0"/>
          <w:i/>
          <w:sz w:val="28"/>
          <w:szCs w:val="28"/>
        </w:rPr>
        <w:t>часто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– диарея или запор, тошнота, рвота, метеоризм, боль в животе; </w:t>
      </w:r>
      <w:r w:rsidRPr="00D2553E">
        <w:rPr>
          <w:rStyle w:val="51"/>
          <w:rFonts w:eastAsiaTheme="minorHAnsi"/>
          <w:b w:val="0"/>
          <w:bCs w:val="0"/>
          <w:i/>
          <w:sz w:val="28"/>
          <w:szCs w:val="28"/>
        </w:rPr>
        <w:t>нечасто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– повышение активности «печеночных» ферментов и щелочной фосфатазы (обратимого характера); </w:t>
      </w:r>
      <w:r w:rsidRPr="00D2553E">
        <w:rPr>
          <w:rStyle w:val="51"/>
          <w:rFonts w:eastAsiaTheme="minorHAnsi"/>
          <w:b w:val="0"/>
          <w:bCs w:val="0"/>
          <w:i/>
          <w:sz w:val="28"/>
          <w:szCs w:val="28"/>
        </w:rPr>
        <w:t>редко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– сухость во рту,</w:t>
      </w:r>
      <w:r w:rsidR="00EE0FFB" w:rsidRPr="00EE0FFB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r w:rsidR="00EE0FFB">
        <w:rPr>
          <w:rStyle w:val="51"/>
          <w:rFonts w:eastAsiaTheme="minorHAnsi"/>
          <w:b w:val="0"/>
          <w:bCs w:val="0"/>
          <w:sz w:val="28"/>
          <w:szCs w:val="28"/>
        </w:rPr>
        <w:t>нарушение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вкуса, стоматит, микроскопический колит, кандидоз желудочно-кишечного тракта; у больных с предшествующим тяжелым забо</w:t>
      </w:r>
      <w:r w:rsidR="002246C1" w:rsidRPr="00D2553E">
        <w:rPr>
          <w:rStyle w:val="51"/>
          <w:rFonts w:eastAsiaTheme="minorHAnsi"/>
          <w:b w:val="0"/>
          <w:bCs w:val="0"/>
          <w:sz w:val="28"/>
          <w:szCs w:val="28"/>
        </w:rPr>
        <w:t>леванием печени – гепатит (в т.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ч. с желтухой), нарушение функции печени, печеночная недостаточность (у больных с предшествующим тяжелым заболеванием печени).</w:t>
      </w:r>
    </w:p>
    <w:p w:rsidR="00436613" w:rsidRPr="00D2553E" w:rsidRDefault="00436613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Со стороны нервной системы</w:t>
      </w:r>
      <w:r w:rsidRPr="00D2553E">
        <w:rPr>
          <w:rFonts w:ascii="Times New Roman" w:hAnsi="Times New Roman" w:cs="Times New Roman"/>
          <w:sz w:val="28"/>
          <w:szCs w:val="28"/>
        </w:rPr>
        <w:t xml:space="preserve">: у пациентов с тяжелыми сопутствующими соматическими заболеваниями </w:t>
      </w:r>
      <w:r w:rsidRPr="00D2553E">
        <w:rPr>
          <w:rFonts w:ascii="Times New Roman" w:hAnsi="Times New Roman" w:cs="Times New Roman"/>
          <w:i/>
          <w:sz w:val="28"/>
          <w:szCs w:val="28"/>
        </w:rPr>
        <w:t>часто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головная боль; </w:t>
      </w:r>
      <w:r w:rsidRPr="00D2553E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</w:t>
      </w:r>
      <w:r w:rsidR="00E76DEE" w:rsidRPr="00D2553E">
        <w:rPr>
          <w:rFonts w:ascii="Times New Roman" w:hAnsi="Times New Roman" w:cs="Times New Roman"/>
          <w:sz w:val="28"/>
          <w:szCs w:val="28"/>
        </w:rPr>
        <w:t xml:space="preserve"> </w:t>
      </w:r>
      <w:r w:rsidRPr="00D2553E">
        <w:rPr>
          <w:rFonts w:ascii="Times New Roman" w:hAnsi="Times New Roman" w:cs="Times New Roman"/>
          <w:sz w:val="28"/>
          <w:szCs w:val="28"/>
        </w:rPr>
        <w:t xml:space="preserve">головокружение,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вертиго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, бессонница; </w:t>
      </w:r>
      <w:r w:rsidRPr="00D2553E">
        <w:rPr>
          <w:rFonts w:ascii="Times New Roman" w:hAnsi="Times New Roman" w:cs="Times New Roman"/>
          <w:i/>
          <w:sz w:val="28"/>
          <w:szCs w:val="28"/>
        </w:rPr>
        <w:t>редко</w:t>
      </w:r>
      <w:r w:rsidR="002246C1" w:rsidRPr="00D25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9E8" w:rsidRPr="00D2553E">
        <w:rPr>
          <w:rFonts w:ascii="Times New Roman" w:hAnsi="Times New Roman" w:cs="Times New Roman"/>
          <w:i/>
          <w:sz w:val="28"/>
          <w:szCs w:val="28"/>
        </w:rPr>
        <w:t>–</w:t>
      </w:r>
      <w:r w:rsidRPr="00D2553E">
        <w:rPr>
          <w:rFonts w:ascii="Times New Roman" w:hAnsi="Times New Roman" w:cs="Times New Roman"/>
          <w:sz w:val="28"/>
          <w:szCs w:val="28"/>
        </w:rPr>
        <w:t xml:space="preserve"> возбуждение, сонливость, парестезии, депрессия, галлюцинации; </w:t>
      </w:r>
      <w:r w:rsidRPr="00D2553E">
        <w:rPr>
          <w:rFonts w:ascii="Times New Roman" w:hAnsi="Times New Roman" w:cs="Times New Roman"/>
          <w:i/>
          <w:sz w:val="28"/>
          <w:szCs w:val="28"/>
        </w:rPr>
        <w:t>очень редко –</w:t>
      </w:r>
      <w:r w:rsidRPr="00D2553E">
        <w:rPr>
          <w:rFonts w:ascii="Times New Roman" w:hAnsi="Times New Roman" w:cs="Times New Roman"/>
          <w:sz w:val="28"/>
          <w:szCs w:val="28"/>
        </w:rPr>
        <w:t xml:space="preserve"> агрессия; у больных с предшествующим тяжелым заболеванием печени </w:t>
      </w:r>
      <w:r w:rsidRPr="00D2553E">
        <w:rPr>
          <w:rFonts w:ascii="Times New Roman" w:hAnsi="Times New Roman" w:cs="Times New Roman"/>
          <w:i/>
          <w:sz w:val="28"/>
          <w:szCs w:val="28"/>
        </w:rPr>
        <w:t>очень редко</w:t>
      </w:r>
      <w:r w:rsidR="00E76DEE" w:rsidRPr="00D2553E">
        <w:rPr>
          <w:rFonts w:ascii="Times New Roman" w:hAnsi="Times New Roman" w:cs="Times New Roman"/>
          <w:sz w:val="28"/>
          <w:szCs w:val="28"/>
        </w:rPr>
        <w:t xml:space="preserve"> – энцефалопатия.</w:t>
      </w:r>
    </w:p>
    <w:p w:rsidR="00E76DEE" w:rsidRPr="00D2553E" w:rsidRDefault="00E76DEE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Со стороны опорно-двигательного аппарата</w:t>
      </w:r>
      <w:r w:rsidRPr="00D2553E">
        <w:rPr>
          <w:rFonts w:ascii="Times New Roman" w:hAnsi="Times New Roman" w:cs="Times New Roman"/>
          <w:sz w:val="28"/>
          <w:szCs w:val="28"/>
        </w:rPr>
        <w:t xml:space="preserve">: </w:t>
      </w:r>
      <w:r w:rsidRPr="00D2553E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перелом бедра, костей запястья и позвонков; </w:t>
      </w:r>
      <w:r w:rsidRPr="00D2553E">
        <w:rPr>
          <w:rFonts w:ascii="Times New Roman" w:hAnsi="Times New Roman" w:cs="Times New Roman"/>
          <w:i/>
          <w:sz w:val="28"/>
          <w:szCs w:val="28"/>
        </w:rPr>
        <w:t>редко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мышечная слабость, миалгия, артралгия.</w:t>
      </w:r>
    </w:p>
    <w:p w:rsidR="00E76DEE" w:rsidRPr="00D2553E" w:rsidRDefault="00E76DEE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Со стороны системы кроветворения</w:t>
      </w:r>
      <w:r w:rsidRPr="00D2553E">
        <w:rPr>
          <w:rFonts w:ascii="Times New Roman" w:hAnsi="Times New Roman" w:cs="Times New Roman"/>
          <w:sz w:val="28"/>
          <w:szCs w:val="28"/>
        </w:rPr>
        <w:t xml:space="preserve">: </w:t>
      </w:r>
      <w:r w:rsidRPr="00D2553E">
        <w:rPr>
          <w:rFonts w:ascii="Times New Roman" w:hAnsi="Times New Roman" w:cs="Times New Roman"/>
          <w:i/>
          <w:sz w:val="28"/>
          <w:szCs w:val="28"/>
        </w:rPr>
        <w:t>редко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лейкопения, тромбоцитопения, гипохромная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микроцитарная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анемия у детей; </w:t>
      </w:r>
      <w:r w:rsidRPr="00D2553E">
        <w:rPr>
          <w:rFonts w:ascii="Times New Roman" w:hAnsi="Times New Roman" w:cs="Times New Roman"/>
          <w:i/>
          <w:sz w:val="28"/>
          <w:szCs w:val="28"/>
        </w:rPr>
        <w:t>очень редко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агранулоцитоз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>.</w:t>
      </w:r>
    </w:p>
    <w:p w:rsidR="00E76DEE" w:rsidRPr="00D2553E" w:rsidRDefault="00E76DEE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Со стороны кожных покровов:</w:t>
      </w:r>
      <w:r w:rsidR="002246C1" w:rsidRPr="00D2553E">
        <w:rPr>
          <w:rFonts w:ascii="Times New Roman" w:hAnsi="Times New Roman" w:cs="Times New Roman"/>
          <w:i/>
          <w:sz w:val="28"/>
          <w:szCs w:val="28"/>
        </w:rPr>
        <w:t xml:space="preserve"> нечасто</w:t>
      </w:r>
      <w:r w:rsidRPr="00D25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9E8" w:rsidRPr="00D2553E">
        <w:rPr>
          <w:rFonts w:ascii="Times New Roman" w:hAnsi="Times New Roman" w:cs="Times New Roman"/>
          <w:i/>
          <w:sz w:val="28"/>
          <w:szCs w:val="28"/>
        </w:rPr>
        <w:t>–</w:t>
      </w:r>
      <w:r w:rsidRPr="00D25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53E">
        <w:rPr>
          <w:rFonts w:ascii="Times New Roman" w:hAnsi="Times New Roman" w:cs="Times New Roman"/>
          <w:sz w:val="28"/>
          <w:szCs w:val="28"/>
        </w:rPr>
        <w:t xml:space="preserve">зуд, кожная сыпь, крапивница, дерматит; </w:t>
      </w:r>
      <w:r w:rsidRPr="00D2553E">
        <w:rPr>
          <w:rFonts w:ascii="Times New Roman" w:hAnsi="Times New Roman" w:cs="Times New Roman"/>
          <w:i/>
          <w:sz w:val="28"/>
          <w:szCs w:val="28"/>
        </w:rPr>
        <w:t xml:space="preserve">редко </w:t>
      </w:r>
      <w:r w:rsidR="006179E8" w:rsidRPr="00D2553E">
        <w:rPr>
          <w:rFonts w:ascii="Times New Roman" w:hAnsi="Times New Roman" w:cs="Times New Roman"/>
          <w:sz w:val="28"/>
          <w:szCs w:val="28"/>
        </w:rPr>
        <w:t>–</w:t>
      </w:r>
      <w:r w:rsidRPr="00D2553E">
        <w:rPr>
          <w:rFonts w:ascii="Times New Roman" w:hAnsi="Times New Roman" w:cs="Times New Roman"/>
          <w:sz w:val="28"/>
          <w:szCs w:val="28"/>
        </w:rPr>
        <w:t xml:space="preserve"> фотосенсибилизация; </w:t>
      </w:r>
      <w:r w:rsidRPr="00D2553E">
        <w:rPr>
          <w:rFonts w:ascii="Times New Roman" w:hAnsi="Times New Roman" w:cs="Times New Roman"/>
          <w:i/>
          <w:sz w:val="28"/>
          <w:szCs w:val="28"/>
        </w:rPr>
        <w:t>очень редко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мультиформная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экссудативная эритема,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, синдром Стивена-Джонсона, токсический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эпидермальный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53E">
        <w:rPr>
          <w:rFonts w:ascii="Times New Roman" w:hAnsi="Times New Roman" w:cs="Times New Roman"/>
          <w:sz w:val="28"/>
          <w:szCs w:val="28"/>
        </w:rPr>
        <w:t>некролиз</w:t>
      </w:r>
      <w:proofErr w:type="spellEnd"/>
      <w:r w:rsidRPr="00D2553E">
        <w:rPr>
          <w:rFonts w:ascii="Times New Roman" w:hAnsi="Times New Roman" w:cs="Times New Roman"/>
          <w:sz w:val="28"/>
          <w:szCs w:val="28"/>
        </w:rPr>
        <w:t>.</w:t>
      </w:r>
    </w:p>
    <w:p w:rsidR="00E76DEE" w:rsidRPr="00D2553E" w:rsidRDefault="00E76DEE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lastRenderedPageBreak/>
        <w:t>Аллергические реакции</w:t>
      </w:r>
      <w:r w:rsidRPr="00D2553E">
        <w:rPr>
          <w:rFonts w:ascii="Times New Roman" w:hAnsi="Times New Roman" w:cs="Times New Roman"/>
          <w:sz w:val="28"/>
          <w:szCs w:val="28"/>
        </w:rPr>
        <w:t>: редко – ангионевротический отек, бронхоспазм, интерстициальный нефрит, анафилактические реакции, анафилактический шок, лихорадка.</w:t>
      </w:r>
    </w:p>
    <w:p w:rsidR="00E76DEE" w:rsidRPr="00D2553E" w:rsidRDefault="00E76DEE" w:rsidP="0067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3E">
        <w:rPr>
          <w:rFonts w:ascii="Times New Roman" w:hAnsi="Times New Roman" w:cs="Times New Roman"/>
          <w:i/>
          <w:sz w:val="28"/>
          <w:szCs w:val="28"/>
        </w:rPr>
        <w:t>Прочие:</w:t>
      </w:r>
      <w:r w:rsidRPr="00D2553E">
        <w:rPr>
          <w:rFonts w:ascii="Times New Roman" w:hAnsi="Times New Roman" w:cs="Times New Roman"/>
          <w:sz w:val="28"/>
          <w:szCs w:val="28"/>
        </w:rPr>
        <w:t xml:space="preserve"> </w:t>
      </w:r>
      <w:r w:rsidRPr="00D2553E">
        <w:rPr>
          <w:rFonts w:ascii="Times New Roman" w:hAnsi="Times New Roman" w:cs="Times New Roman"/>
          <w:i/>
          <w:sz w:val="28"/>
          <w:szCs w:val="28"/>
        </w:rPr>
        <w:t>нечасто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недомогание; </w:t>
      </w:r>
      <w:r w:rsidRPr="00D2553E">
        <w:rPr>
          <w:rFonts w:ascii="Times New Roman" w:hAnsi="Times New Roman" w:cs="Times New Roman"/>
          <w:i/>
          <w:sz w:val="28"/>
          <w:szCs w:val="28"/>
        </w:rPr>
        <w:t>редко</w:t>
      </w:r>
      <w:r w:rsidRPr="00D2553E">
        <w:rPr>
          <w:rFonts w:ascii="Times New Roman" w:hAnsi="Times New Roman" w:cs="Times New Roman"/>
          <w:sz w:val="28"/>
          <w:szCs w:val="28"/>
        </w:rPr>
        <w:t xml:space="preserve"> – </w:t>
      </w:r>
      <w:r w:rsidR="00EE0FFB" w:rsidRPr="00C931F6">
        <w:rPr>
          <w:rFonts w:ascii="Times New Roman" w:hAnsi="Times New Roman" w:cs="Times New Roman"/>
          <w:sz w:val="28"/>
          <w:szCs w:val="28"/>
        </w:rPr>
        <w:t>анорексия,</w:t>
      </w:r>
      <w:r w:rsidR="00EE0FFB">
        <w:rPr>
          <w:rFonts w:ascii="Times New Roman" w:hAnsi="Times New Roman" w:cs="Times New Roman"/>
          <w:sz w:val="28"/>
          <w:szCs w:val="28"/>
        </w:rPr>
        <w:t xml:space="preserve"> </w:t>
      </w:r>
      <w:r w:rsidRPr="00D2553E">
        <w:rPr>
          <w:rFonts w:ascii="Times New Roman" w:hAnsi="Times New Roman" w:cs="Times New Roman"/>
          <w:sz w:val="28"/>
          <w:szCs w:val="28"/>
        </w:rPr>
        <w:t>нарушение зрения, периферические отеки</w:t>
      </w:r>
      <w:r w:rsidR="00170C16" w:rsidRPr="00D2553E">
        <w:rPr>
          <w:rFonts w:ascii="Times New Roman" w:hAnsi="Times New Roman" w:cs="Times New Roman"/>
          <w:sz w:val="28"/>
          <w:szCs w:val="28"/>
        </w:rPr>
        <w:t xml:space="preserve">, гипонатриемия, усиление потоотделения, гинекомастия, образование желудочных </w:t>
      </w:r>
      <w:proofErr w:type="spellStart"/>
      <w:r w:rsidR="00170C16" w:rsidRPr="00D2553E">
        <w:rPr>
          <w:rFonts w:ascii="Times New Roman" w:hAnsi="Times New Roman" w:cs="Times New Roman"/>
          <w:sz w:val="28"/>
          <w:szCs w:val="28"/>
        </w:rPr>
        <w:t>гландулярных</w:t>
      </w:r>
      <w:proofErr w:type="spellEnd"/>
      <w:r w:rsidR="00170C16" w:rsidRPr="00D2553E">
        <w:rPr>
          <w:rFonts w:ascii="Times New Roman" w:hAnsi="Times New Roman" w:cs="Times New Roman"/>
          <w:sz w:val="28"/>
          <w:szCs w:val="28"/>
        </w:rPr>
        <w:t xml:space="preserve"> кист во время длительного лечения (следствие ингибирования секреции соляной кислоты, носит доброкачественный, обратимый характер); частота неизвестна – </w:t>
      </w:r>
      <w:proofErr w:type="spellStart"/>
      <w:r w:rsidR="00170C16" w:rsidRPr="00D2553E"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  <w:r w:rsidR="00170C16" w:rsidRPr="00D2553E">
        <w:rPr>
          <w:rFonts w:ascii="Times New Roman" w:hAnsi="Times New Roman" w:cs="Times New Roman"/>
          <w:sz w:val="28"/>
          <w:szCs w:val="28"/>
        </w:rPr>
        <w:t>.</w:t>
      </w:r>
    </w:p>
    <w:p w:rsidR="003D5011" w:rsidRPr="00537B79" w:rsidRDefault="00690CD9" w:rsidP="003D5011">
      <w:pPr>
        <w:spacing w:after="97" w:line="41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90CD9">
        <w:rPr>
          <w:rFonts w:ascii="Times New Roman" w:hAnsi="Times New Roman" w:cs="Times New Roman"/>
          <w:sz w:val="28"/>
          <w:szCs w:val="28"/>
        </w:rPr>
        <w:t xml:space="preserve">Ниже приведены побочные эффекты, не зависящие от режима дозирования </w:t>
      </w:r>
      <w:proofErr w:type="spellStart"/>
      <w:r w:rsidRPr="00690CD9">
        <w:rPr>
          <w:rFonts w:ascii="Times New Roman" w:hAnsi="Times New Roman" w:cs="Times New Roman"/>
          <w:sz w:val="28"/>
          <w:szCs w:val="28"/>
        </w:rPr>
        <w:t>омепразола</w:t>
      </w:r>
      <w:proofErr w:type="spellEnd"/>
      <w:r w:rsidRPr="00690CD9">
        <w:rPr>
          <w:rFonts w:ascii="Times New Roman" w:hAnsi="Times New Roman" w:cs="Times New Roman"/>
          <w:sz w:val="28"/>
          <w:szCs w:val="28"/>
        </w:rPr>
        <w:t xml:space="preserve">, которые были отмечены в ходе клинических исследований, а также при </w:t>
      </w:r>
      <w:proofErr w:type="spellStart"/>
      <w:r w:rsidRPr="00690CD9">
        <w:rPr>
          <w:rFonts w:ascii="Times New Roman" w:hAnsi="Times New Roman" w:cs="Times New Roman"/>
          <w:sz w:val="28"/>
          <w:szCs w:val="28"/>
        </w:rPr>
        <w:t>постмаркетинговом</w:t>
      </w:r>
      <w:proofErr w:type="spellEnd"/>
      <w:r w:rsidRPr="00690CD9">
        <w:rPr>
          <w:rFonts w:ascii="Times New Roman" w:hAnsi="Times New Roman" w:cs="Times New Roman"/>
          <w:sz w:val="28"/>
          <w:szCs w:val="28"/>
        </w:rPr>
        <w:t xml:space="preserve"> применении.</w:t>
      </w:r>
    </w:p>
    <w:tbl>
      <w:tblPr>
        <w:tblStyle w:val="af1"/>
        <w:tblW w:w="9977" w:type="dxa"/>
        <w:tblInd w:w="20" w:type="dxa"/>
        <w:tblLook w:val="04A0"/>
      </w:tblPr>
      <w:tblGrid>
        <w:gridCol w:w="4985"/>
        <w:gridCol w:w="4992"/>
      </w:tblGrid>
      <w:tr w:rsidR="003D5011" w:rsidRPr="00B67D26" w:rsidTr="000A3FA8">
        <w:tc>
          <w:tcPr>
            <w:tcW w:w="4988" w:type="dxa"/>
          </w:tcPr>
          <w:p w:rsidR="003D5011" w:rsidRPr="00B67D26" w:rsidRDefault="001B1C1A" w:rsidP="001A5299">
            <w:pPr>
              <w:spacing w:after="200" w:line="4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>Часто (</w:t>
            </w:r>
            <w:r w:rsidR="00B67D2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 xml:space="preserve">1/100, </w:t>
            </w:r>
            <w:r w:rsidR="00B67D26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>1/10)</w:t>
            </w:r>
          </w:p>
        </w:tc>
        <w:tc>
          <w:tcPr>
            <w:tcW w:w="4989" w:type="dxa"/>
          </w:tcPr>
          <w:p w:rsidR="003D5011" w:rsidRPr="00B67D26" w:rsidRDefault="008A7BF0" w:rsidP="001A5299">
            <w:pPr>
              <w:spacing w:line="414" w:lineRule="exact"/>
              <w:ind w:right="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67D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Головная боль, боль в животе,</w:t>
            </w:r>
            <w:r w:rsidR="00B67D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диарея, метеоризм, тошнота/рвота, запор</w:t>
            </w:r>
            <w:r w:rsidRPr="00B67D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3D5011" w:rsidRPr="00B67D26" w:rsidTr="000A3FA8">
        <w:tc>
          <w:tcPr>
            <w:tcW w:w="4988" w:type="dxa"/>
          </w:tcPr>
          <w:p w:rsidR="003D5011" w:rsidRPr="00B67D26" w:rsidRDefault="00B67D26" w:rsidP="001A5299">
            <w:pPr>
              <w:spacing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Нечасто </w:t>
            </w:r>
          </w:p>
          <w:p w:rsidR="003D5011" w:rsidRPr="00B67D26" w:rsidRDefault="001A5299" w:rsidP="001A5299">
            <w:pPr>
              <w:spacing w:after="200" w:line="36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>(&gt;1/1000, &lt;1/100)</w:t>
            </w:r>
          </w:p>
        </w:tc>
        <w:tc>
          <w:tcPr>
            <w:tcW w:w="4989" w:type="dxa"/>
          </w:tcPr>
          <w:p w:rsidR="003D5011" w:rsidRPr="00B67D26" w:rsidRDefault="00B67D26" w:rsidP="001A5299">
            <w:pPr>
              <w:spacing w:line="414" w:lineRule="exact"/>
              <w:ind w:right="2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Дерматит, зуд, сыпь, крапивница, сонливость, бессонница, головокружение, парестезии, недомогание, повышение активности «печеночных» ферментов </w:t>
            </w:r>
          </w:p>
        </w:tc>
      </w:tr>
      <w:tr w:rsidR="003D5011" w:rsidRPr="00B67D26" w:rsidTr="000A3FA8">
        <w:tc>
          <w:tcPr>
            <w:tcW w:w="4998" w:type="dxa"/>
          </w:tcPr>
          <w:p w:rsidR="00B67D26" w:rsidRDefault="00B67D26" w:rsidP="001A5299">
            <w:pPr>
              <w:spacing w:line="4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B67D26" w:rsidRPr="00B67D26" w:rsidRDefault="00B67D26" w:rsidP="00B67D26">
            <w:pPr>
              <w:spacing w:line="4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>1/10000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&lt;</w:t>
            </w:r>
            <w:r w:rsidRPr="00B67D26">
              <w:rPr>
                <w:rFonts w:ascii="Times New Roman" w:hAnsi="Times New Roman" w:cs="Times New Roman"/>
                <w:sz w:val="28"/>
                <w:szCs w:val="28"/>
              </w:rPr>
              <w:t>1/1000)</w:t>
            </w:r>
          </w:p>
          <w:p w:rsidR="003D5011" w:rsidRPr="00B67D26" w:rsidRDefault="003D5011" w:rsidP="001A5299">
            <w:pPr>
              <w:spacing w:line="41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3D5011" w:rsidRPr="00B67D26" w:rsidRDefault="00B67D26" w:rsidP="00EE0FFB">
            <w:pPr>
              <w:spacing w:line="414" w:lineRule="exact"/>
              <w:ind w:right="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C74E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Реакции гиперчувствительности (например, лихорадка, ангионевротический </w:t>
            </w:r>
            <w:r w:rsidRPr="002C74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отек, анафилактическая реакция/анафилактический шок), бронхоспазм, гепатит (с желтухой или без), печеночная недостаточность,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энцефалопатия у пациентов с заболеваниями печени,</w:t>
            </w:r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артралгия, миалгия, мышечная слабость, лейкопения, тромбоцитопения,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агранулоцитоз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панцитопения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депрессия,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гипонатриемия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возбуждение, агрессия, замешательство, галлюцинации, нарушение вкуса, нечеткость зрения, сухость во рту, стоматит, кандидоз желудочно-кишечного тракта,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алопеция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фотосенсибилизация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мультиформная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эритема, синдром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Стивенса-Джонсона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токсический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эпидермальный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некролиз</w:t>
            </w:r>
            <w:proofErr w:type="spellEnd"/>
            <w:r w:rsidR="00D206A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интерстициальный нефрит, гинекомастия, потливость, </w:t>
            </w:r>
            <w:r w:rsidR="00D206AE" w:rsidRPr="00C931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периферические</w:t>
            </w:r>
            <w:r w:rsidR="00EE0FFB" w:rsidRPr="00C931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отеки, микроскопический колит.</w:t>
            </w:r>
          </w:p>
        </w:tc>
      </w:tr>
      <w:tr w:rsidR="003D5011" w:rsidRPr="004317B9" w:rsidTr="000A3FA8">
        <w:tc>
          <w:tcPr>
            <w:tcW w:w="4998" w:type="dxa"/>
          </w:tcPr>
          <w:p w:rsidR="003D5011" w:rsidRPr="00B67D26" w:rsidRDefault="002C74E4" w:rsidP="001A5299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Частота неизвестна </w:t>
            </w:r>
          </w:p>
        </w:tc>
        <w:tc>
          <w:tcPr>
            <w:tcW w:w="4999" w:type="dxa"/>
          </w:tcPr>
          <w:p w:rsidR="003D5011" w:rsidRPr="00B67D26" w:rsidRDefault="002C74E4" w:rsidP="001A5299">
            <w:pPr>
              <w:spacing w:line="414" w:lineRule="exact"/>
              <w:ind w:right="2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Гипомагниемия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гипокальциемия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вследствие тяжелой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гипомагниемии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гипокалиемия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вследствие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гипомагниемии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</w:tr>
    </w:tbl>
    <w:p w:rsidR="003D5011" w:rsidRPr="008F054F" w:rsidRDefault="00690CD9" w:rsidP="001A5299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D9">
        <w:rPr>
          <w:rFonts w:ascii="Times New Roman" w:hAnsi="Times New Roman" w:cs="Times New Roman"/>
          <w:sz w:val="28"/>
          <w:szCs w:val="28"/>
        </w:rPr>
        <w:t>Сообщалось о случаях образования железистых кист в желудке у пациентов, принимающих препараты, понижающие секрецию желез желудка, в течение длительного промежутка времени; кисты доброкачественные и проходят самостоятельно на фоне продолжения терапии.</w:t>
      </w:r>
    </w:p>
    <w:p w:rsidR="006A7547" w:rsidRPr="00666026" w:rsidRDefault="006A7547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  <w:r w:rsidRPr="00666026">
        <w:rPr>
          <w:b/>
          <w:sz w:val="28"/>
          <w:szCs w:val="28"/>
        </w:rPr>
        <w:t>Передозировка</w:t>
      </w:r>
    </w:p>
    <w:p w:rsidR="00170C16" w:rsidRPr="001A5299" w:rsidRDefault="00170C16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666026">
        <w:rPr>
          <w:sz w:val="28"/>
          <w:szCs w:val="28"/>
        </w:rPr>
        <w:t>Симптомами передозировки являются нарушение зрения, сонливость, возбуждение, спутанность сознания, головная боль, повыше</w:t>
      </w:r>
      <w:r w:rsidRPr="001A5299">
        <w:rPr>
          <w:sz w:val="28"/>
          <w:szCs w:val="28"/>
        </w:rPr>
        <w:t>ние потоотделения, сухость во рту, тошнота, аритмия.</w:t>
      </w:r>
    </w:p>
    <w:p w:rsidR="00104D3D" w:rsidRPr="00666026" w:rsidRDefault="00690CD9" w:rsidP="006179E8">
      <w:pPr>
        <w:pStyle w:val="9"/>
        <w:shd w:val="clear" w:color="auto" w:fill="auto"/>
        <w:spacing w:line="360" w:lineRule="auto"/>
        <w:ind w:left="23" w:right="20"/>
        <w:jc w:val="both"/>
        <w:rPr>
          <w:rStyle w:val="51"/>
          <w:b w:val="0"/>
          <w:bCs w:val="0"/>
          <w:color w:val="auto"/>
          <w:sz w:val="28"/>
          <w:szCs w:val="28"/>
        </w:rPr>
      </w:pPr>
      <w:r w:rsidRPr="00690CD9">
        <w:rPr>
          <w:sz w:val="28"/>
          <w:szCs w:val="28"/>
        </w:rPr>
        <w:t>Специфического антидота не существует. Лечение симптоматическое. Гемодиализ – недостаточно эффективен.</w:t>
      </w:r>
    </w:p>
    <w:p w:rsidR="006A7547" w:rsidRPr="00666026" w:rsidRDefault="002246C1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Cs w:val="0"/>
          <w:sz w:val="28"/>
          <w:szCs w:val="28"/>
        </w:rPr>
      </w:pPr>
      <w:r w:rsidRPr="00666026">
        <w:rPr>
          <w:rStyle w:val="51"/>
          <w:rFonts w:eastAsiaTheme="minorHAnsi"/>
          <w:bCs w:val="0"/>
          <w:sz w:val="28"/>
          <w:szCs w:val="28"/>
        </w:rPr>
        <w:t>Взаимодействие</w:t>
      </w:r>
      <w:r w:rsidR="006A7547" w:rsidRPr="00666026">
        <w:rPr>
          <w:rStyle w:val="51"/>
          <w:rFonts w:eastAsiaTheme="minorHAnsi"/>
          <w:bCs w:val="0"/>
          <w:sz w:val="28"/>
          <w:szCs w:val="28"/>
        </w:rPr>
        <w:t xml:space="preserve"> с другими</w:t>
      </w:r>
      <w:r w:rsidR="00690CD9" w:rsidRPr="00690CD9">
        <w:rPr>
          <w:rFonts w:ascii="Times New Roman" w:hAnsi="Times New Roman" w:cs="Times New Roman"/>
          <w:sz w:val="28"/>
          <w:szCs w:val="28"/>
        </w:rPr>
        <w:t xml:space="preserve"> </w:t>
      </w:r>
      <w:r w:rsidR="006A7547" w:rsidRPr="00D2553E">
        <w:rPr>
          <w:rStyle w:val="51"/>
          <w:rFonts w:eastAsiaTheme="minorHAnsi"/>
          <w:bCs w:val="0"/>
          <w:sz w:val="28"/>
          <w:szCs w:val="28"/>
        </w:rPr>
        <w:t>лекарственными препаратами</w:t>
      </w:r>
    </w:p>
    <w:p w:rsidR="00170C16" w:rsidRPr="001A5299" w:rsidRDefault="00170C16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666026">
        <w:rPr>
          <w:rStyle w:val="51"/>
          <w:rFonts w:eastAsiaTheme="minorHAnsi"/>
          <w:b w:val="0"/>
          <w:bCs w:val="0"/>
          <w:sz w:val="28"/>
          <w:szCs w:val="28"/>
        </w:rPr>
        <w:t xml:space="preserve">Длительное применение </w:t>
      </w:r>
      <w:proofErr w:type="spellStart"/>
      <w:r w:rsidRPr="00666026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666026">
        <w:rPr>
          <w:rStyle w:val="51"/>
          <w:rFonts w:eastAsiaTheme="minorHAnsi"/>
          <w:b w:val="0"/>
          <w:bCs w:val="0"/>
          <w:sz w:val="28"/>
          <w:szCs w:val="28"/>
        </w:rPr>
        <w:t xml:space="preserve"> в дозе 20 мг 1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раз в сутки в комбинации с кофеином,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теофиллином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пироксикамом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диклофенаком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напроксеном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метопрололом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пропранололом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этанолом,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циклоспорином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лидокаином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хинидином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и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эстрадиолом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не приводило к изменению их концентрации в плазме.</w:t>
      </w:r>
    </w:p>
    <w:p w:rsidR="00170C16" w:rsidRPr="001A5299" w:rsidRDefault="00170C16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При одновременном применении с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может наблюдаться увеличение или снижение абсорбции препаратов, биодоступность которых в большей степени</w:t>
      </w:r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определяется кислотностью желудочного сока (в т.ч. </w:t>
      </w:r>
      <w:proofErr w:type="spellStart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>эрлотиниб</w:t>
      </w:r>
      <w:proofErr w:type="spellEnd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>кетоконазол</w:t>
      </w:r>
      <w:proofErr w:type="spellEnd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>итраконазол</w:t>
      </w:r>
      <w:proofErr w:type="spellEnd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>позаконазол</w:t>
      </w:r>
      <w:proofErr w:type="spellEnd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препараты железа и </w:t>
      </w:r>
      <w:proofErr w:type="spellStart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>цианокобаламин</w:t>
      </w:r>
      <w:proofErr w:type="spellEnd"/>
      <w:r w:rsidR="005009A8" w:rsidRPr="001A5299">
        <w:rPr>
          <w:rStyle w:val="51"/>
          <w:rFonts w:eastAsiaTheme="minorHAnsi"/>
          <w:b w:val="0"/>
          <w:bCs w:val="0"/>
          <w:sz w:val="28"/>
          <w:szCs w:val="28"/>
        </w:rPr>
        <w:t>).</w:t>
      </w:r>
    </w:p>
    <w:p w:rsidR="005009A8" w:rsidRPr="001A5299" w:rsidRDefault="005009A8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При одновременном применении с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может наблюдаться значительное снижение плазменной концентрации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атазанавира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и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нелфинавира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.</w:t>
      </w:r>
    </w:p>
    <w:p w:rsidR="005009A8" w:rsidRPr="001A5299" w:rsidRDefault="005009A8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lastRenderedPageBreak/>
        <w:t xml:space="preserve">При одновременном применении с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отмечается повышение плазменной концентрации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саквинавира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/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ритонавира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до 70 %, при этом переносимость лечения пациентами с ВИЧ-инфекцией не ухудшается.</w:t>
      </w:r>
    </w:p>
    <w:p w:rsidR="005009A8" w:rsidRPr="001A5299" w:rsidRDefault="005009A8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Биодоступность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дигоксина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при одновременном применении с 20 мг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повышается на 10 %. Следует соблюдать осторожность</w:t>
      </w:r>
      <w:r w:rsidR="00C3252C"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при одновременном применении этих препаратов у пожилых пациентов.</w:t>
      </w:r>
    </w:p>
    <w:p w:rsidR="00C3252C" w:rsidRPr="004317B9" w:rsidRDefault="00C3252C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При одновременном применении с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возможно повышение плазменной концентрации и увеличение периода полувыведения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варфарина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(</w:t>
      </w:r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R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-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варфарин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) или других антагонистов витамина К,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цилостазола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диаз</w:t>
      </w:r>
      <w:r w:rsidRPr="00847A58">
        <w:rPr>
          <w:rStyle w:val="51"/>
          <w:rFonts w:eastAsiaTheme="minorHAnsi"/>
          <w:b w:val="0"/>
          <w:bCs w:val="0"/>
          <w:sz w:val="28"/>
          <w:szCs w:val="28"/>
        </w:rPr>
        <w:t>епама</w:t>
      </w:r>
      <w:proofErr w:type="spellEnd"/>
      <w:r w:rsidRPr="00847A58">
        <w:rPr>
          <w:rStyle w:val="51"/>
          <w:rFonts w:eastAsiaTheme="minorHAnsi"/>
          <w:b w:val="0"/>
          <w:bCs w:val="0"/>
          <w:sz w:val="28"/>
          <w:szCs w:val="28"/>
        </w:rPr>
        <w:t xml:space="preserve">, </w:t>
      </w:r>
      <w:proofErr w:type="spellStart"/>
      <w:r w:rsidRPr="00847A58">
        <w:rPr>
          <w:rStyle w:val="51"/>
          <w:rFonts w:eastAsiaTheme="minorHAnsi"/>
          <w:b w:val="0"/>
          <w:bCs w:val="0"/>
          <w:sz w:val="28"/>
          <w:szCs w:val="28"/>
        </w:rPr>
        <w:t>фенитоина</w:t>
      </w:r>
      <w:proofErr w:type="spellEnd"/>
      <w:r w:rsidRPr="00847A58">
        <w:rPr>
          <w:rStyle w:val="51"/>
          <w:rFonts w:eastAsiaTheme="minorHAnsi"/>
          <w:b w:val="0"/>
          <w:bCs w:val="0"/>
          <w:sz w:val="28"/>
          <w:szCs w:val="28"/>
        </w:rPr>
        <w:t>, а также други</w:t>
      </w:r>
      <w:r w:rsidR="00584179" w:rsidRPr="00847A58">
        <w:rPr>
          <w:rStyle w:val="51"/>
          <w:rFonts w:eastAsiaTheme="minorHAnsi"/>
          <w:b w:val="0"/>
          <w:bCs w:val="0"/>
          <w:sz w:val="28"/>
          <w:szCs w:val="28"/>
        </w:rPr>
        <w:t xml:space="preserve">х препаратов, </w:t>
      </w:r>
      <w:proofErr w:type="spellStart"/>
      <w:r w:rsidR="00584179" w:rsidRPr="00847A58">
        <w:rPr>
          <w:rStyle w:val="51"/>
          <w:rFonts w:eastAsiaTheme="minorHAnsi"/>
          <w:b w:val="0"/>
          <w:bCs w:val="0"/>
          <w:sz w:val="28"/>
          <w:szCs w:val="28"/>
        </w:rPr>
        <w:t>метаболизирующихся</w:t>
      </w:r>
      <w:proofErr w:type="spellEnd"/>
      <w:r w:rsidR="00584179" w:rsidRPr="00847A58">
        <w:rPr>
          <w:rStyle w:val="51"/>
          <w:rFonts w:eastAsiaTheme="minorHAnsi"/>
          <w:b w:val="0"/>
          <w:bCs w:val="0"/>
          <w:sz w:val="28"/>
          <w:szCs w:val="28"/>
        </w:rPr>
        <w:t xml:space="preserve"> в печени посредством изофермента </w:t>
      </w:r>
      <w:r w:rsidR="00584179" w:rsidRPr="00515796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CYP</w:t>
      </w:r>
      <w:r w:rsidR="00584179" w:rsidRPr="00515796">
        <w:rPr>
          <w:rStyle w:val="51"/>
          <w:rFonts w:eastAsiaTheme="minorHAnsi"/>
          <w:b w:val="0"/>
          <w:bCs w:val="0"/>
          <w:sz w:val="28"/>
          <w:szCs w:val="28"/>
        </w:rPr>
        <w:t>2</w:t>
      </w:r>
      <w:r w:rsidR="00584179" w:rsidRPr="00515796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</w:t>
      </w:r>
      <w:r w:rsidR="00584179" w:rsidRPr="00515796">
        <w:rPr>
          <w:rStyle w:val="51"/>
          <w:rFonts w:eastAsiaTheme="minorHAnsi"/>
          <w:b w:val="0"/>
          <w:bCs w:val="0"/>
          <w:sz w:val="28"/>
          <w:szCs w:val="28"/>
        </w:rPr>
        <w:t>19 (</w:t>
      </w:r>
      <w:r w:rsidR="002246C1" w:rsidRPr="00515796">
        <w:rPr>
          <w:rStyle w:val="51"/>
          <w:rFonts w:eastAsiaTheme="minorHAnsi"/>
          <w:b w:val="0"/>
          <w:bCs w:val="0"/>
          <w:sz w:val="28"/>
          <w:szCs w:val="28"/>
        </w:rPr>
        <w:t>может потребоваться снижение доз</w:t>
      </w:r>
      <w:r w:rsidR="00584179" w:rsidRPr="00515796">
        <w:rPr>
          <w:rStyle w:val="51"/>
          <w:rFonts w:eastAsiaTheme="minorHAnsi"/>
          <w:b w:val="0"/>
          <w:bCs w:val="0"/>
          <w:sz w:val="28"/>
          <w:szCs w:val="28"/>
        </w:rPr>
        <w:t xml:space="preserve"> этих препаратов). Сопутствующее лечение </w:t>
      </w:r>
      <w:proofErr w:type="spellStart"/>
      <w:r w:rsidR="00584179" w:rsidRPr="00515796">
        <w:rPr>
          <w:rStyle w:val="51"/>
          <w:rFonts w:eastAsiaTheme="minorHAnsi"/>
          <w:b w:val="0"/>
          <w:bCs w:val="0"/>
          <w:sz w:val="28"/>
          <w:szCs w:val="28"/>
        </w:rPr>
        <w:t>омепразолом</w:t>
      </w:r>
      <w:proofErr w:type="spellEnd"/>
      <w:r w:rsidR="00584179" w:rsidRPr="00515796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r w:rsidR="002246C1" w:rsidRPr="00F7425B">
        <w:rPr>
          <w:rStyle w:val="51"/>
          <w:rFonts w:eastAsiaTheme="minorHAnsi"/>
          <w:b w:val="0"/>
          <w:bCs w:val="0"/>
          <w:sz w:val="28"/>
          <w:szCs w:val="28"/>
        </w:rPr>
        <w:t>в суточной дозе 20 мг приводит к</w:t>
      </w:r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 xml:space="preserve"> изменению времени коагуляции у пациентов, длительно принимающих </w:t>
      </w:r>
      <w:proofErr w:type="spellStart"/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>варфарин</w:t>
      </w:r>
      <w:proofErr w:type="spellEnd"/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 xml:space="preserve">, поэтому при применении </w:t>
      </w:r>
      <w:proofErr w:type="spellStart"/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 xml:space="preserve"> пациентами, получающими </w:t>
      </w:r>
      <w:proofErr w:type="spellStart"/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>варфарин</w:t>
      </w:r>
      <w:proofErr w:type="spellEnd"/>
      <w:r w:rsidR="00584179" w:rsidRPr="00F7425B">
        <w:rPr>
          <w:rStyle w:val="51"/>
          <w:rFonts w:eastAsiaTheme="minorHAnsi"/>
          <w:b w:val="0"/>
          <w:bCs w:val="0"/>
          <w:sz w:val="28"/>
          <w:szCs w:val="28"/>
        </w:rPr>
        <w:t xml:space="preserve"> или другие антагонисты витамина К, необходимо контролировать Международное нормализованное отношение (МНО); в ряде</w:t>
      </w:r>
      <w:r w:rsidR="00584179"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случаев может понадобиться снижение дозы </w:t>
      </w:r>
      <w:proofErr w:type="spellStart"/>
      <w:r w:rsidR="00584179" w:rsidRPr="004317B9">
        <w:rPr>
          <w:rStyle w:val="51"/>
          <w:rFonts w:eastAsiaTheme="minorHAnsi"/>
          <w:b w:val="0"/>
          <w:bCs w:val="0"/>
          <w:sz w:val="28"/>
          <w:szCs w:val="28"/>
        </w:rPr>
        <w:t>варфарина</w:t>
      </w:r>
      <w:proofErr w:type="spellEnd"/>
      <w:r w:rsidR="00584179"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или другого антагониста витамина К.</w:t>
      </w:r>
    </w:p>
    <w:p w:rsidR="00584179" w:rsidRPr="004317B9" w:rsidRDefault="00584179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Применение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в дозе 40 мг один раз в сутки приводило к увеличению максимальной плазменной концентрации и </w:t>
      </w:r>
      <w:r w:rsidRPr="004317B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AUC</w:t>
      </w:r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цилостазола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на 18 % и 26 % соответственно</w:t>
      </w:r>
      <w:r w:rsidR="0028712C"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; для одного из активных метаболитов </w:t>
      </w:r>
      <w:proofErr w:type="spellStart"/>
      <w:r w:rsidR="0028712C" w:rsidRPr="004317B9">
        <w:rPr>
          <w:rStyle w:val="51"/>
          <w:rFonts w:eastAsiaTheme="minorHAnsi"/>
          <w:b w:val="0"/>
          <w:bCs w:val="0"/>
          <w:sz w:val="28"/>
          <w:szCs w:val="28"/>
        </w:rPr>
        <w:t>цилостазола</w:t>
      </w:r>
      <w:proofErr w:type="spellEnd"/>
      <w:r w:rsidR="0028712C"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увеличение составило 29 % и 69 % соответственно.</w:t>
      </w:r>
    </w:p>
    <w:p w:rsidR="005234C3" w:rsidRPr="00666026" w:rsidRDefault="005234C3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proofErr w:type="spellStart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Омепразол</w:t>
      </w:r>
      <w:proofErr w:type="spellEnd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при одновременном применении повышает плазменную концентрацию </w:t>
      </w:r>
      <w:proofErr w:type="spellStart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такролимуса</w:t>
      </w:r>
      <w:proofErr w:type="spellEnd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, что может потребовать коррекции дозы. В период комбинированного лечения следует тщательно контролировать концентрацию </w:t>
      </w:r>
      <w:proofErr w:type="spellStart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такролимуса</w:t>
      </w:r>
      <w:proofErr w:type="spellEnd"/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 xml:space="preserve"> в </w:t>
      </w:r>
      <w:r w:rsidR="00EE0FFB">
        <w:rPr>
          <w:rStyle w:val="51"/>
          <w:rFonts w:eastAsiaTheme="minorHAnsi"/>
          <w:b w:val="0"/>
          <w:bCs w:val="0"/>
          <w:sz w:val="28"/>
          <w:szCs w:val="28"/>
        </w:rPr>
        <w:t>п</w:t>
      </w:r>
      <w:r w:rsidRPr="00D2553E">
        <w:rPr>
          <w:rStyle w:val="51"/>
          <w:rFonts w:eastAsiaTheme="minorHAnsi"/>
          <w:b w:val="0"/>
          <w:bCs w:val="0"/>
          <w:sz w:val="28"/>
          <w:szCs w:val="28"/>
        </w:rPr>
        <w:t>лазме крови и функцию</w:t>
      </w:r>
      <w:r w:rsidRPr="00666026">
        <w:rPr>
          <w:rStyle w:val="51"/>
          <w:rFonts w:eastAsiaTheme="minorHAnsi"/>
          <w:b w:val="0"/>
          <w:bCs w:val="0"/>
          <w:sz w:val="28"/>
          <w:szCs w:val="28"/>
        </w:rPr>
        <w:t xml:space="preserve"> почек (клиренс креатинина).</w:t>
      </w:r>
    </w:p>
    <w:p w:rsidR="005234C3" w:rsidRPr="001A5299" w:rsidRDefault="005234C3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Индукторы изоферментов </w:t>
      </w:r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CYP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2</w:t>
      </w:r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19 и </w:t>
      </w:r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CYP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3</w:t>
      </w:r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A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4 (например,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рифампицин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, препараты зверобоя продырявленного (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Hypericum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perforatum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) при одновременном применении с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омепразолом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могут увеличить его метаболизм, снижая тем самым его концентрацию в плазме.</w:t>
      </w:r>
    </w:p>
    <w:p w:rsidR="008A6406" w:rsidRPr="00F7425B" w:rsidRDefault="008A6406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Не отмечено взаимодействия с одновременно принимаемыми антацидами. Может снижать абсорбцию эфиров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ампициллина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, солей железа,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итраконазола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и 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lastRenderedPageBreak/>
        <w:t>кето</w:t>
      </w:r>
      <w:r w:rsidR="00EE0FFB">
        <w:rPr>
          <w:rStyle w:val="51"/>
          <w:rFonts w:eastAsiaTheme="minorHAnsi"/>
          <w:b w:val="0"/>
          <w:bCs w:val="0"/>
          <w:sz w:val="28"/>
          <w:szCs w:val="28"/>
        </w:rPr>
        <w:t>ко</w:t>
      </w:r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назола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(</w:t>
      </w:r>
      <w:proofErr w:type="spellStart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>омепразол</w:t>
      </w:r>
      <w:proofErr w:type="spellEnd"/>
      <w:r w:rsidRPr="001A5299">
        <w:rPr>
          <w:rStyle w:val="51"/>
          <w:rFonts w:eastAsiaTheme="minorHAnsi"/>
          <w:b w:val="0"/>
          <w:bCs w:val="0"/>
          <w:sz w:val="28"/>
          <w:szCs w:val="28"/>
        </w:rPr>
        <w:t xml:space="preserve"> повышает рН </w:t>
      </w:r>
      <w:r w:rsidR="00E22123" w:rsidRPr="00847A58">
        <w:rPr>
          <w:rStyle w:val="51"/>
          <w:rFonts w:eastAsiaTheme="minorHAnsi"/>
          <w:b w:val="0"/>
          <w:bCs w:val="0"/>
          <w:sz w:val="28"/>
          <w:szCs w:val="28"/>
        </w:rPr>
        <w:t xml:space="preserve">желудка). Являясь ингибитором цитохрома Р450, может повышать концентрацию и снижать выведение диазепама, антикоагулянтов непрямого действия, фенитоина (лекарственные средства, которые </w:t>
      </w:r>
      <w:proofErr w:type="spellStart"/>
      <w:r w:rsidR="00E22123" w:rsidRPr="00847A58">
        <w:rPr>
          <w:rStyle w:val="51"/>
          <w:rFonts w:eastAsiaTheme="minorHAnsi"/>
          <w:b w:val="0"/>
          <w:bCs w:val="0"/>
          <w:sz w:val="28"/>
          <w:szCs w:val="28"/>
        </w:rPr>
        <w:t>метаболизируются</w:t>
      </w:r>
      <w:proofErr w:type="spellEnd"/>
      <w:r w:rsidR="00E22123" w:rsidRPr="00847A58">
        <w:rPr>
          <w:rStyle w:val="51"/>
          <w:rFonts w:eastAsiaTheme="minorHAnsi"/>
          <w:b w:val="0"/>
          <w:bCs w:val="0"/>
          <w:sz w:val="28"/>
          <w:szCs w:val="28"/>
        </w:rPr>
        <w:t xml:space="preserve"> в печени посредством цитохрома </w:t>
      </w:r>
      <w:r w:rsidR="005F4041" w:rsidRPr="00515796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CYP</w:t>
      </w:r>
      <w:r w:rsidR="005F4041" w:rsidRPr="00515796">
        <w:rPr>
          <w:rStyle w:val="51"/>
          <w:rFonts w:eastAsiaTheme="minorHAnsi"/>
          <w:b w:val="0"/>
          <w:bCs w:val="0"/>
          <w:sz w:val="28"/>
          <w:szCs w:val="28"/>
        </w:rPr>
        <w:t>2</w:t>
      </w:r>
      <w:r w:rsidR="005F4041" w:rsidRPr="00515796">
        <w:rPr>
          <w:rStyle w:val="51"/>
          <w:rFonts w:eastAsiaTheme="minorHAnsi"/>
          <w:b w:val="0"/>
          <w:bCs w:val="0"/>
          <w:sz w:val="28"/>
          <w:szCs w:val="28"/>
          <w:lang w:val="en-US"/>
        </w:rPr>
        <w:t>C</w:t>
      </w:r>
      <w:r w:rsidR="005F4041" w:rsidRPr="00515796">
        <w:rPr>
          <w:rStyle w:val="51"/>
          <w:rFonts w:eastAsiaTheme="minorHAnsi"/>
          <w:b w:val="0"/>
          <w:bCs w:val="0"/>
          <w:sz w:val="28"/>
          <w:szCs w:val="28"/>
        </w:rPr>
        <w:t>19), что в некоторых слу</w:t>
      </w:r>
      <w:r w:rsidR="005F4041" w:rsidRPr="00F7425B">
        <w:rPr>
          <w:rStyle w:val="51"/>
          <w:rFonts w:eastAsiaTheme="minorHAnsi"/>
          <w:b w:val="0"/>
          <w:bCs w:val="0"/>
          <w:sz w:val="28"/>
          <w:szCs w:val="28"/>
        </w:rPr>
        <w:t>ча</w:t>
      </w:r>
      <w:r w:rsidR="00EE0FFB">
        <w:rPr>
          <w:rStyle w:val="51"/>
          <w:rFonts w:eastAsiaTheme="minorHAnsi"/>
          <w:b w:val="0"/>
          <w:bCs w:val="0"/>
          <w:sz w:val="28"/>
          <w:szCs w:val="28"/>
        </w:rPr>
        <w:t xml:space="preserve">ях может потребовать уменьшения доз </w:t>
      </w:r>
      <w:r w:rsidR="005F4041" w:rsidRPr="00F7425B">
        <w:rPr>
          <w:rStyle w:val="51"/>
          <w:rFonts w:eastAsiaTheme="minorHAnsi"/>
          <w:b w:val="0"/>
          <w:bCs w:val="0"/>
          <w:sz w:val="28"/>
          <w:szCs w:val="28"/>
        </w:rPr>
        <w:t>этих лекарственных средств. Усиливает ингибирующее действие на систему кроветворения других лекарственных средств.</w:t>
      </w:r>
    </w:p>
    <w:p w:rsidR="005F4041" w:rsidRPr="004317B9" w:rsidRDefault="005F4041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При совместном применении метотрексата с ингибиторами протонной помпы у некоторых пациентов наблюдалось незначительное повышение концентрации метотрексата в крови. При лечении высокими дозами метотрексата следует временно прекратить прием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.</w:t>
      </w:r>
    </w:p>
    <w:p w:rsidR="005F4041" w:rsidRPr="004317B9" w:rsidRDefault="005F4041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Style w:val="51"/>
          <w:rFonts w:eastAsiaTheme="minorHAnsi"/>
          <w:b w:val="0"/>
          <w:bCs w:val="0"/>
          <w:sz w:val="28"/>
          <w:szCs w:val="28"/>
        </w:rPr>
      </w:pPr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При совместном приеме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с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кларитромицином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или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эритромицином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концентрация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в плазме крови повышается.</w:t>
      </w:r>
    </w:p>
    <w:p w:rsidR="005F4041" w:rsidRPr="004317B9" w:rsidRDefault="005F4041" w:rsidP="00673126">
      <w:pPr>
        <w:tabs>
          <w:tab w:val="left" w:pos="2698"/>
          <w:tab w:val="left" w:pos="3678"/>
        </w:tabs>
        <w:spacing w:after="0" w:line="360" w:lineRule="auto"/>
        <w:ind w:left="2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Совместный прием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с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амоксициллином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или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метронидазолом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не влияет на концентрацию </w:t>
      </w:r>
      <w:proofErr w:type="spellStart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>омепразола</w:t>
      </w:r>
      <w:proofErr w:type="spellEnd"/>
      <w:r w:rsidRPr="004317B9">
        <w:rPr>
          <w:rStyle w:val="51"/>
          <w:rFonts w:eastAsiaTheme="minorHAnsi"/>
          <w:b w:val="0"/>
          <w:bCs w:val="0"/>
          <w:sz w:val="28"/>
          <w:szCs w:val="28"/>
        </w:rPr>
        <w:t xml:space="preserve"> в плазме крови.</w:t>
      </w:r>
    </w:p>
    <w:p w:rsidR="00565732" w:rsidRPr="004317B9" w:rsidRDefault="00412B05" w:rsidP="00673126">
      <w:pPr>
        <w:pStyle w:val="9"/>
        <w:shd w:val="clear" w:color="auto" w:fill="auto"/>
        <w:spacing w:line="360" w:lineRule="auto"/>
        <w:jc w:val="both"/>
        <w:rPr>
          <w:rStyle w:val="ab"/>
          <w:sz w:val="28"/>
          <w:szCs w:val="28"/>
          <w:u w:val="none"/>
        </w:rPr>
      </w:pPr>
      <w:r w:rsidRPr="004317B9">
        <w:rPr>
          <w:rStyle w:val="ab"/>
          <w:sz w:val="28"/>
          <w:szCs w:val="28"/>
          <w:u w:val="none"/>
        </w:rPr>
        <w:t>Особые указания</w:t>
      </w:r>
    </w:p>
    <w:p w:rsidR="001D6317" w:rsidRDefault="001D6317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4317B9">
        <w:rPr>
          <w:rStyle w:val="ab"/>
          <w:b w:val="0"/>
          <w:sz w:val="28"/>
          <w:szCs w:val="28"/>
          <w:u w:val="none"/>
        </w:rPr>
        <w:t>Перед началом терапии необходимо исключить наличие злокачественного процесса (особенно при язве желудка), т.к. лечение, маскируя симптоматику, может отсрочить постановку правильного диагноза.</w:t>
      </w:r>
    </w:p>
    <w:p w:rsidR="001D6317" w:rsidRPr="004317B9" w:rsidRDefault="001D6317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4317B9">
        <w:rPr>
          <w:rStyle w:val="ab"/>
          <w:b w:val="0"/>
          <w:sz w:val="28"/>
          <w:szCs w:val="28"/>
          <w:u w:val="none"/>
        </w:rPr>
        <w:t>Прием одновременно с пищей не влияет на его эффективность.</w:t>
      </w:r>
    </w:p>
    <w:p w:rsidR="00155CE0" w:rsidRPr="004317B9" w:rsidRDefault="001D6317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4317B9">
        <w:rPr>
          <w:rStyle w:val="ab"/>
          <w:b w:val="0"/>
          <w:sz w:val="28"/>
          <w:szCs w:val="28"/>
          <w:u w:val="none"/>
        </w:rPr>
        <w:t>При возникновении трудностей с проглатыванием целой капсулы, можно проглотить ее содержимое после вскрытия или рассасывания капсулы, а также можно</w:t>
      </w:r>
      <w:r w:rsidR="00155CE0" w:rsidRPr="004317B9">
        <w:rPr>
          <w:rStyle w:val="ab"/>
          <w:b w:val="0"/>
          <w:sz w:val="28"/>
          <w:szCs w:val="28"/>
          <w:u w:val="none"/>
        </w:rPr>
        <w:t xml:space="preserve"> </w:t>
      </w:r>
      <w:r w:rsidR="00FF25A4" w:rsidRPr="004317B9">
        <w:rPr>
          <w:rStyle w:val="ab"/>
          <w:b w:val="0"/>
          <w:sz w:val="28"/>
          <w:szCs w:val="28"/>
          <w:u w:val="none"/>
        </w:rPr>
        <w:t>смешать содержимое капсулы со слегка по</w:t>
      </w:r>
      <w:r w:rsidR="006179E8" w:rsidRPr="004317B9">
        <w:rPr>
          <w:rStyle w:val="ab"/>
          <w:b w:val="0"/>
          <w:sz w:val="28"/>
          <w:szCs w:val="28"/>
          <w:u w:val="none"/>
        </w:rPr>
        <w:t>д</w:t>
      </w:r>
      <w:r w:rsidR="00FF25A4" w:rsidRPr="004317B9">
        <w:rPr>
          <w:rStyle w:val="ab"/>
          <w:b w:val="0"/>
          <w:sz w:val="28"/>
          <w:szCs w:val="28"/>
          <w:u w:val="none"/>
        </w:rPr>
        <w:t>кисленной жидкостью (соком, йогуртом) и использовать полученную суспензию в течение 30 мин.</w:t>
      </w:r>
    </w:p>
    <w:p w:rsidR="00FF25A4" w:rsidRDefault="00FF25A4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4317B9">
        <w:rPr>
          <w:rStyle w:val="ab"/>
          <w:b w:val="0"/>
          <w:sz w:val="28"/>
          <w:szCs w:val="28"/>
          <w:u w:val="none"/>
        </w:rPr>
        <w:t>В обычных дозировках препарат не оказывает влияния на скорость психомоторных реакций и концентрацию внимания.</w:t>
      </w:r>
    </w:p>
    <w:p w:rsidR="001140C4" w:rsidRPr="004317B9" w:rsidRDefault="001140C4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proofErr w:type="gramStart"/>
      <w:r w:rsidRPr="00C931F6">
        <w:rPr>
          <w:rStyle w:val="ab"/>
          <w:b w:val="0"/>
          <w:sz w:val="28"/>
          <w:szCs w:val="28"/>
          <w:u w:val="none"/>
        </w:rPr>
        <w:t xml:space="preserve">По результатам исследований отмечено фармакокинетическое/фармакодинамическое взаимодействие между 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клопидогрелом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 (нагрузочная доза 300 мг и поддерживающая доза 75 мг/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сут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) и 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омепразолом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 (80 мг/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сут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 внутрь), которое приводит к снижению экспозиции к активному метаболиту 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клопидогрела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 в среднем на 46</w:t>
      </w:r>
      <w:r w:rsidR="00032708" w:rsidRPr="00C931F6">
        <w:rPr>
          <w:rStyle w:val="ab"/>
          <w:b w:val="0"/>
          <w:sz w:val="28"/>
          <w:szCs w:val="28"/>
          <w:u w:val="none"/>
        </w:rPr>
        <w:t xml:space="preserve"> </w:t>
      </w:r>
      <w:r w:rsidRPr="00C931F6">
        <w:rPr>
          <w:rStyle w:val="ab"/>
          <w:b w:val="0"/>
          <w:sz w:val="28"/>
          <w:szCs w:val="28"/>
          <w:u w:val="none"/>
        </w:rPr>
        <w:t xml:space="preserve">% и снижению максимального ингибирования 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АДФ-индуцированной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 агрегации тромбоцитов в </w:t>
      </w:r>
      <w:r w:rsidRPr="00C931F6">
        <w:rPr>
          <w:rStyle w:val="ab"/>
          <w:b w:val="0"/>
          <w:sz w:val="28"/>
          <w:szCs w:val="28"/>
          <w:u w:val="none"/>
        </w:rPr>
        <w:lastRenderedPageBreak/>
        <w:t>среднем на 16</w:t>
      </w:r>
      <w:r w:rsidR="00032708" w:rsidRPr="00C931F6">
        <w:rPr>
          <w:rStyle w:val="ab"/>
          <w:b w:val="0"/>
          <w:sz w:val="28"/>
          <w:szCs w:val="28"/>
          <w:u w:val="none"/>
        </w:rPr>
        <w:t xml:space="preserve"> </w:t>
      </w:r>
      <w:r w:rsidRPr="00C931F6">
        <w:rPr>
          <w:rStyle w:val="ab"/>
          <w:b w:val="0"/>
          <w:sz w:val="28"/>
          <w:szCs w:val="28"/>
          <w:u w:val="none"/>
        </w:rPr>
        <w:t xml:space="preserve">%. Поэтому следует избегать одновременного применения 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омепразола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 xml:space="preserve"> и </w:t>
      </w:r>
      <w:proofErr w:type="spellStart"/>
      <w:r w:rsidRPr="00C931F6">
        <w:rPr>
          <w:rStyle w:val="ab"/>
          <w:b w:val="0"/>
          <w:sz w:val="28"/>
          <w:szCs w:val="28"/>
          <w:u w:val="none"/>
        </w:rPr>
        <w:t>клопидогрела</w:t>
      </w:r>
      <w:proofErr w:type="spellEnd"/>
      <w:r w:rsidRPr="00C931F6">
        <w:rPr>
          <w:rStyle w:val="ab"/>
          <w:b w:val="0"/>
          <w:sz w:val="28"/>
          <w:szCs w:val="28"/>
          <w:u w:val="none"/>
        </w:rPr>
        <w:t>.</w:t>
      </w:r>
      <w:proofErr w:type="gramEnd"/>
    </w:p>
    <w:p w:rsidR="00FF25A4" w:rsidRPr="004317B9" w:rsidRDefault="00FF25A4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4317B9">
        <w:rPr>
          <w:rStyle w:val="ab"/>
          <w:b w:val="0"/>
          <w:sz w:val="28"/>
          <w:szCs w:val="28"/>
          <w:u w:val="none"/>
        </w:rPr>
        <w:t xml:space="preserve">Вследствие снижения секреции соляной кислоты повышается концентрация </w:t>
      </w:r>
      <w:proofErr w:type="spellStart"/>
      <w:r w:rsidRPr="004317B9">
        <w:rPr>
          <w:rStyle w:val="ab"/>
          <w:b w:val="0"/>
          <w:sz w:val="28"/>
          <w:szCs w:val="28"/>
          <w:u w:val="none"/>
        </w:rPr>
        <w:t>хро</w:t>
      </w:r>
      <w:r w:rsidR="00EE0FFB">
        <w:rPr>
          <w:rStyle w:val="ab"/>
          <w:b w:val="0"/>
          <w:sz w:val="28"/>
          <w:szCs w:val="28"/>
          <w:u w:val="none"/>
        </w:rPr>
        <w:t>мо</w:t>
      </w:r>
      <w:r w:rsidRPr="004317B9">
        <w:rPr>
          <w:rStyle w:val="ab"/>
          <w:b w:val="0"/>
          <w:sz w:val="28"/>
          <w:szCs w:val="28"/>
          <w:u w:val="none"/>
        </w:rPr>
        <w:t>гранина</w:t>
      </w:r>
      <w:proofErr w:type="spellEnd"/>
      <w:r w:rsidRPr="004317B9">
        <w:rPr>
          <w:rStyle w:val="ab"/>
          <w:b w:val="0"/>
          <w:sz w:val="28"/>
          <w:szCs w:val="28"/>
          <w:u w:val="none"/>
        </w:rPr>
        <w:t xml:space="preserve"> А(</w:t>
      </w:r>
      <w:proofErr w:type="spellStart"/>
      <w:r w:rsidRPr="004317B9">
        <w:rPr>
          <w:rStyle w:val="ab"/>
          <w:b w:val="0"/>
          <w:sz w:val="28"/>
          <w:szCs w:val="28"/>
          <w:u w:val="none"/>
          <w:lang w:val="en-US"/>
        </w:rPr>
        <w:t>CgA</w:t>
      </w:r>
      <w:proofErr w:type="spellEnd"/>
      <w:r w:rsidRPr="004317B9">
        <w:rPr>
          <w:rStyle w:val="ab"/>
          <w:b w:val="0"/>
          <w:sz w:val="28"/>
          <w:szCs w:val="28"/>
          <w:u w:val="none"/>
        </w:rPr>
        <w:t xml:space="preserve">). Повышение концентрации </w:t>
      </w:r>
      <w:proofErr w:type="spellStart"/>
      <w:r w:rsidRPr="004317B9">
        <w:rPr>
          <w:rStyle w:val="ab"/>
          <w:b w:val="0"/>
          <w:sz w:val="28"/>
          <w:szCs w:val="28"/>
          <w:u w:val="none"/>
          <w:lang w:val="en-US"/>
        </w:rPr>
        <w:t>CgA</w:t>
      </w:r>
      <w:proofErr w:type="spellEnd"/>
      <w:r w:rsidRPr="004317B9">
        <w:rPr>
          <w:rStyle w:val="ab"/>
          <w:b w:val="0"/>
          <w:sz w:val="28"/>
          <w:szCs w:val="28"/>
          <w:u w:val="none"/>
        </w:rPr>
        <w:t xml:space="preserve"> в плазме крови может оказывать влияние на результаты обследований для выявления нейроэндокринных опухолей. Для предотвращения данного влияния необходимо временно прекратить при</w:t>
      </w:r>
      <w:r w:rsidR="006179E8" w:rsidRPr="004317B9">
        <w:rPr>
          <w:rStyle w:val="ab"/>
          <w:b w:val="0"/>
          <w:sz w:val="28"/>
          <w:szCs w:val="28"/>
          <w:u w:val="none"/>
        </w:rPr>
        <w:t>ем</w:t>
      </w:r>
      <w:r w:rsidRPr="004317B9">
        <w:rPr>
          <w:rStyle w:val="ab"/>
          <w:b w:val="0"/>
          <w:sz w:val="28"/>
          <w:szCs w:val="28"/>
          <w:u w:val="none"/>
        </w:rPr>
        <w:t xml:space="preserve"> </w:t>
      </w:r>
      <w:proofErr w:type="spellStart"/>
      <w:r w:rsidRPr="004317B9">
        <w:rPr>
          <w:rStyle w:val="ab"/>
          <w:b w:val="0"/>
          <w:sz w:val="28"/>
          <w:szCs w:val="28"/>
          <w:u w:val="none"/>
        </w:rPr>
        <w:t>омепразола</w:t>
      </w:r>
      <w:proofErr w:type="spellEnd"/>
      <w:r w:rsidRPr="004317B9">
        <w:rPr>
          <w:rStyle w:val="ab"/>
          <w:b w:val="0"/>
          <w:sz w:val="28"/>
          <w:szCs w:val="28"/>
          <w:u w:val="none"/>
        </w:rPr>
        <w:t xml:space="preserve"> за 5 дней до проведения исследования концентрации </w:t>
      </w:r>
      <w:proofErr w:type="spellStart"/>
      <w:r w:rsidRPr="004317B9">
        <w:rPr>
          <w:rStyle w:val="ab"/>
          <w:b w:val="0"/>
          <w:sz w:val="28"/>
          <w:szCs w:val="28"/>
          <w:u w:val="none"/>
          <w:lang w:val="en-US"/>
        </w:rPr>
        <w:t>CgA</w:t>
      </w:r>
      <w:proofErr w:type="spellEnd"/>
      <w:r w:rsidRPr="004317B9">
        <w:rPr>
          <w:rStyle w:val="ab"/>
          <w:b w:val="0"/>
          <w:sz w:val="28"/>
          <w:szCs w:val="28"/>
          <w:u w:val="none"/>
        </w:rPr>
        <w:t>.</w:t>
      </w:r>
    </w:p>
    <w:p w:rsidR="00FF25A4" w:rsidRPr="004317B9" w:rsidRDefault="00FF25A4" w:rsidP="001A5299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4317B9">
        <w:rPr>
          <w:rStyle w:val="ab"/>
          <w:b w:val="0"/>
          <w:sz w:val="28"/>
          <w:szCs w:val="28"/>
          <w:u w:val="none"/>
        </w:rPr>
        <w:t>Препарат следует принимать с осторожностью, если присутствует один из следующих симптомов или состояний: наличие «тревожных</w:t>
      </w:r>
      <w:r w:rsidR="00975892">
        <w:rPr>
          <w:rStyle w:val="ab"/>
          <w:b w:val="0"/>
          <w:sz w:val="28"/>
          <w:szCs w:val="28"/>
          <w:u w:val="none"/>
        </w:rPr>
        <w:t>»</w:t>
      </w:r>
      <w:r w:rsidRPr="004317B9">
        <w:rPr>
          <w:rStyle w:val="ab"/>
          <w:b w:val="0"/>
          <w:sz w:val="28"/>
          <w:szCs w:val="28"/>
          <w:u w:val="none"/>
        </w:rPr>
        <w:t xml:space="preserve"> симптомов - значительное снижение массы тела, повторяющаяся рвота, рвота с примесью крови, нарушение глотания, </w:t>
      </w:r>
      <w:r w:rsidR="00975892" w:rsidRPr="00975892">
        <w:rPr>
          <w:rStyle w:val="ab"/>
          <w:b w:val="0"/>
          <w:color w:val="auto"/>
          <w:sz w:val="28"/>
          <w:szCs w:val="28"/>
          <w:u w:val="none"/>
        </w:rPr>
        <w:t xml:space="preserve">изменение </w:t>
      </w:r>
      <w:r w:rsidRPr="004317B9">
        <w:rPr>
          <w:rStyle w:val="ab"/>
          <w:b w:val="0"/>
          <w:sz w:val="28"/>
          <w:szCs w:val="28"/>
          <w:u w:val="none"/>
        </w:rPr>
        <w:t>цвета кала (дегтеобразный стул).</w:t>
      </w:r>
    </w:p>
    <w:p w:rsidR="00172458" w:rsidRDefault="00FF25A4" w:rsidP="001A5299">
      <w:pPr>
        <w:spacing w:after="0" w:line="360" w:lineRule="auto"/>
        <w:ind w:right="23"/>
        <w:jc w:val="both"/>
        <w:rPr>
          <w:rStyle w:val="ab"/>
          <w:rFonts w:eastAsiaTheme="minorHAnsi"/>
          <w:b w:val="0"/>
          <w:color w:val="auto"/>
          <w:sz w:val="28"/>
          <w:szCs w:val="28"/>
          <w:u w:val="none"/>
        </w:rPr>
      </w:pPr>
      <w:r w:rsidRPr="004317B9">
        <w:rPr>
          <w:rStyle w:val="ab"/>
          <w:rFonts w:eastAsiaTheme="minorHAnsi"/>
          <w:b w:val="0"/>
          <w:sz w:val="28"/>
          <w:szCs w:val="28"/>
          <w:u w:val="none"/>
        </w:rPr>
        <w:t xml:space="preserve">Ингибиторы протонного насоса, особенно при применении препарата в высоких дозах и при длительном применении (&gt; 1 года), </w:t>
      </w:r>
      <w:r w:rsidR="004678DF" w:rsidRPr="004317B9">
        <w:rPr>
          <w:rStyle w:val="ab"/>
          <w:rFonts w:eastAsiaTheme="minorHAnsi"/>
          <w:b w:val="0"/>
          <w:sz w:val="28"/>
          <w:szCs w:val="28"/>
          <w:u w:val="none"/>
        </w:rPr>
        <w:t>могут умеренно повышать риск переломов бедра, костей запястья и позвонков, особенно у пожилых пациентов или при наличии других факторов риска</w:t>
      </w:r>
      <w:r w:rsidR="004678DF"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.</w:t>
      </w:r>
      <w:r w:rsidR="00D37759"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 xml:space="preserve"> </w:t>
      </w:r>
    </w:p>
    <w:p w:rsidR="00D37759" w:rsidRPr="00975892" w:rsidRDefault="00D37759" w:rsidP="001A5299">
      <w:pPr>
        <w:spacing w:after="0" w:line="360" w:lineRule="auto"/>
        <w:ind w:right="23"/>
        <w:jc w:val="both"/>
        <w:rPr>
          <w:rStyle w:val="ab"/>
          <w:rFonts w:eastAsiaTheme="minorHAnsi"/>
          <w:b w:val="0"/>
          <w:color w:val="auto"/>
          <w:sz w:val="28"/>
          <w:szCs w:val="28"/>
          <w:u w:val="none"/>
        </w:rPr>
      </w:pPr>
      <w:r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 xml:space="preserve">В рандомизированных, двойных слепых, контролируемых клинических исследованиях </w:t>
      </w:r>
      <w:proofErr w:type="spellStart"/>
      <w:r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омепразола</w:t>
      </w:r>
      <w:proofErr w:type="spellEnd"/>
      <w:r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 xml:space="preserve"> и </w:t>
      </w:r>
      <w:proofErr w:type="spellStart"/>
      <w:r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эзомепразола</w:t>
      </w:r>
      <w:proofErr w:type="spellEnd"/>
      <w:r w:rsidRPr="00975892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, включая два открытых исследования с длительностью терапии более 12 лет, не была подтверждена связь переломов на фоне остеопороза с применением ингибиторов протонного насоса.</w:t>
      </w:r>
    </w:p>
    <w:p w:rsidR="00000000" w:rsidRDefault="00690CD9">
      <w:pPr>
        <w:spacing w:after="0" w:line="360" w:lineRule="auto"/>
        <w:ind w:right="23"/>
        <w:jc w:val="both"/>
        <w:rPr>
          <w:rStyle w:val="ab"/>
          <w:rFonts w:eastAsiaTheme="minorHAnsi"/>
          <w:b w:val="0"/>
          <w:sz w:val="28"/>
          <w:szCs w:val="28"/>
          <w:u w:val="none"/>
        </w:rPr>
      </w:pPr>
      <w:r w:rsidRPr="00690CD9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 xml:space="preserve">Хотя причинно-следственная связь применения </w:t>
      </w:r>
      <w:proofErr w:type="spellStart"/>
      <w:r w:rsidRPr="00690CD9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омепразола</w:t>
      </w:r>
      <w:proofErr w:type="spellEnd"/>
      <w:r w:rsidRPr="00690CD9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/</w:t>
      </w:r>
      <w:proofErr w:type="spellStart"/>
      <w:r w:rsidRPr="00690CD9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>эзомепразола</w:t>
      </w:r>
      <w:proofErr w:type="spellEnd"/>
      <w:r w:rsidRPr="00690CD9">
        <w:rPr>
          <w:rStyle w:val="ab"/>
          <w:rFonts w:eastAsiaTheme="minorHAnsi"/>
          <w:b w:val="0"/>
          <w:color w:val="auto"/>
          <w:sz w:val="28"/>
          <w:szCs w:val="28"/>
          <w:u w:val="none"/>
        </w:rPr>
        <w:t xml:space="preserve"> с переломами на фоне остеопороза не установлена, пациенты с риском развития остеопороза или переломов на его фоне должны находиться под соответствующим клиническим наблюдением. </w:t>
      </w:r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 xml:space="preserve">У пациентов, получавших </w:t>
      </w:r>
      <w:proofErr w:type="spellStart"/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>омепразол</w:t>
      </w:r>
      <w:proofErr w:type="spellEnd"/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 xml:space="preserve"> на протяжении, как минимум, трех месяцев</w:t>
      </w:r>
      <w:r w:rsidR="008F054F">
        <w:rPr>
          <w:rStyle w:val="ab"/>
          <w:rFonts w:eastAsiaTheme="minorHAnsi"/>
          <w:b w:val="0"/>
          <w:sz w:val="28"/>
          <w:szCs w:val="28"/>
          <w:u w:val="none"/>
        </w:rPr>
        <w:t>,</w:t>
      </w:r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 xml:space="preserve"> была зарегистрирована тяжелая </w:t>
      </w:r>
      <w:proofErr w:type="spellStart"/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>гипомагниемия</w:t>
      </w:r>
      <w:proofErr w:type="spellEnd"/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>, проявляющаяся такими сим</w:t>
      </w:r>
      <w:r w:rsidR="00261FB1">
        <w:rPr>
          <w:rStyle w:val="ab"/>
          <w:rFonts w:eastAsiaTheme="minorHAnsi"/>
          <w:b w:val="0"/>
          <w:sz w:val="28"/>
          <w:szCs w:val="28"/>
          <w:u w:val="none"/>
        </w:rPr>
        <w:t>п</w:t>
      </w:r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>томами, как</w:t>
      </w:r>
      <w:r w:rsidR="00975892">
        <w:rPr>
          <w:rStyle w:val="ab"/>
          <w:rFonts w:eastAsiaTheme="minorHAnsi"/>
          <w:b w:val="0"/>
          <w:sz w:val="28"/>
          <w:szCs w:val="28"/>
          <w:u w:val="none"/>
        </w:rPr>
        <w:t>:</w:t>
      </w:r>
      <w:r w:rsidR="004678DF" w:rsidRPr="00666026">
        <w:rPr>
          <w:rStyle w:val="ab"/>
          <w:rFonts w:eastAsiaTheme="minorHAnsi"/>
          <w:b w:val="0"/>
          <w:sz w:val="28"/>
          <w:szCs w:val="28"/>
          <w:u w:val="none"/>
        </w:rPr>
        <w:t xml:space="preserve"> утомляемость, бред, судороги, головок</w:t>
      </w:r>
      <w:r w:rsidR="006179E8" w:rsidRPr="001A5299">
        <w:rPr>
          <w:rStyle w:val="ab"/>
          <w:rFonts w:eastAsiaTheme="minorHAnsi"/>
          <w:b w:val="0"/>
          <w:sz w:val="28"/>
          <w:szCs w:val="28"/>
          <w:u w:val="none"/>
        </w:rPr>
        <w:t>ру</w:t>
      </w:r>
      <w:r w:rsidR="004678DF" w:rsidRPr="001A5299">
        <w:rPr>
          <w:rStyle w:val="ab"/>
          <w:rFonts w:eastAsiaTheme="minorHAnsi"/>
          <w:b w:val="0"/>
          <w:sz w:val="28"/>
          <w:szCs w:val="28"/>
          <w:u w:val="none"/>
        </w:rPr>
        <w:t xml:space="preserve">жение и желудочковая аритмия. У большинства пациентов </w:t>
      </w:r>
      <w:proofErr w:type="spellStart"/>
      <w:r w:rsidR="004678DF" w:rsidRPr="001A5299">
        <w:rPr>
          <w:rStyle w:val="ab"/>
          <w:rFonts w:eastAsiaTheme="minorHAnsi"/>
          <w:b w:val="0"/>
          <w:sz w:val="28"/>
          <w:szCs w:val="28"/>
          <w:u w:val="none"/>
        </w:rPr>
        <w:t>гипомагниемия</w:t>
      </w:r>
      <w:proofErr w:type="spellEnd"/>
      <w:r w:rsidR="004678DF" w:rsidRPr="001A5299">
        <w:rPr>
          <w:rStyle w:val="ab"/>
          <w:rFonts w:eastAsiaTheme="minorHAnsi"/>
          <w:b w:val="0"/>
          <w:sz w:val="28"/>
          <w:szCs w:val="28"/>
          <w:u w:val="none"/>
        </w:rPr>
        <w:t xml:space="preserve"> купировалась после отмены ингибиторов протонного насоса и введением препаратов магния.</w:t>
      </w:r>
    </w:p>
    <w:p w:rsidR="004678DF" w:rsidRDefault="004678DF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1A5299">
        <w:rPr>
          <w:rStyle w:val="ab"/>
          <w:b w:val="0"/>
          <w:sz w:val="28"/>
          <w:szCs w:val="28"/>
          <w:u w:val="none"/>
        </w:rPr>
        <w:t xml:space="preserve">У пациентов, которым планируется длительная терапия или которым назначен </w:t>
      </w:r>
      <w:proofErr w:type="spellStart"/>
      <w:r w:rsidRPr="001A5299">
        <w:rPr>
          <w:rStyle w:val="ab"/>
          <w:b w:val="0"/>
          <w:sz w:val="28"/>
          <w:szCs w:val="28"/>
          <w:u w:val="none"/>
        </w:rPr>
        <w:t>омепразол</w:t>
      </w:r>
      <w:proofErr w:type="spellEnd"/>
      <w:r w:rsidRPr="001A5299">
        <w:rPr>
          <w:rStyle w:val="ab"/>
          <w:b w:val="0"/>
          <w:sz w:val="28"/>
          <w:szCs w:val="28"/>
          <w:u w:val="none"/>
        </w:rPr>
        <w:t xml:space="preserve"> с </w:t>
      </w:r>
      <w:proofErr w:type="spellStart"/>
      <w:r w:rsidRPr="001A5299">
        <w:rPr>
          <w:rStyle w:val="ab"/>
          <w:b w:val="0"/>
          <w:sz w:val="28"/>
          <w:szCs w:val="28"/>
          <w:u w:val="none"/>
        </w:rPr>
        <w:t>дигоксином</w:t>
      </w:r>
      <w:proofErr w:type="spellEnd"/>
      <w:r w:rsidRPr="001A5299">
        <w:rPr>
          <w:rStyle w:val="ab"/>
          <w:b w:val="0"/>
          <w:sz w:val="28"/>
          <w:szCs w:val="28"/>
          <w:u w:val="none"/>
        </w:rPr>
        <w:t xml:space="preserve"> или другими препаратами, способными вызвать </w:t>
      </w:r>
      <w:proofErr w:type="spellStart"/>
      <w:r w:rsidRPr="001A5299">
        <w:rPr>
          <w:rStyle w:val="ab"/>
          <w:b w:val="0"/>
          <w:sz w:val="28"/>
          <w:szCs w:val="28"/>
          <w:u w:val="none"/>
        </w:rPr>
        <w:lastRenderedPageBreak/>
        <w:t>гипомагниемию</w:t>
      </w:r>
      <w:proofErr w:type="spellEnd"/>
      <w:r w:rsidRPr="001A5299">
        <w:rPr>
          <w:rStyle w:val="ab"/>
          <w:b w:val="0"/>
          <w:sz w:val="28"/>
          <w:szCs w:val="28"/>
          <w:u w:val="none"/>
        </w:rPr>
        <w:t xml:space="preserve"> (например, </w:t>
      </w:r>
      <w:proofErr w:type="spellStart"/>
      <w:r w:rsidRPr="001A5299">
        <w:rPr>
          <w:rStyle w:val="ab"/>
          <w:b w:val="0"/>
          <w:sz w:val="28"/>
          <w:szCs w:val="28"/>
          <w:u w:val="none"/>
        </w:rPr>
        <w:t>диуретики</w:t>
      </w:r>
      <w:proofErr w:type="spellEnd"/>
      <w:r w:rsidRPr="001A5299">
        <w:rPr>
          <w:rStyle w:val="ab"/>
          <w:b w:val="0"/>
          <w:sz w:val="28"/>
          <w:szCs w:val="28"/>
          <w:u w:val="none"/>
        </w:rPr>
        <w:t>), следует оценить содержание магния до начала терапии и периодически контролировать его во время лечения.</w:t>
      </w:r>
    </w:p>
    <w:p w:rsidR="004678DF" w:rsidRPr="001A5299" w:rsidRDefault="004678DF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proofErr w:type="spellStart"/>
      <w:r w:rsidRPr="001A5299">
        <w:rPr>
          <w:rStyle w:val="ab"/>
          <w:b w:val="0"/>
          <w:sz w:val="28"/>
          <w:szCs w:val="28"/>
          <w:u w:val="none"/>
        </w:rPr>
        <w:t>Омепразол</w:t>
      </w:r>
      <w:proofErr w:type="spellEnd"/>
      <w:r w:rsidRPr="001A5299">
        <w:rPr>
          <w:rStyle w:val="ab"/>
          <w:b w:val="0"/>
          <w:sz w:val="28"/>
          <w:szCs w:val="28"/>
          <w:u w:val="none"/>
        </w:rPr>
        <w:t>, как и все лекарственные средства, снижающие кислотность, может приводить к снижению всасывания витамина В12 (</w:t>
      </w:r>
      <w:proofErr w:type="spellStart"/>
      <w:r w:rsidRPr="001A5299">
        <w:rPr>
          <w:rStyle w:val="ab"/>
          <w:b w:val="0"/>
          <w:sz w:val="28"/>
          <w:szCs w:val="28"/>
          <w:u w:val="none"/>
        </w:rPr>
        <w:t>цианокобаламина</w:t>
      </w:r>
      <w:proofErr w:type="spellEnd"/>
      <w:r w:rsidRPr="001A5299">
        <w:rPr>
          <w:rStyle w:val="ab"/>
          <w:b w:val="0"/>
          <w:sz w:val="28"/>
          <w:szCs w:val="28"/>
          <w:u w:val="none"/>
        </w:rPr>
        <w:t>). Об этом необходимо помнить в отношении пациентов со сниженным запасом витамина В12 в организме или с факторами риска нарушения всасывания витамина В12 при длительной терапии.</w:t>
      </w:r>
    </w:p>
    <w:p w:rsidR="004678DF" w:rsidRPr="00515796" w:rsidRDefault="004678DF" w:rsidP="00673126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847A58">
        <w:rPr>
          <w:rStyle w:val="ab"/>
          <w:b w:val="0"/>
          <w:sz w:val="28"/>
          <w:szCs w:val="28"/>
          <w:u w:val="none"/>
        </w:rPr>
        <w:t>У пациентов, принимающих препараты, понижающие секрецию желез желудка, в течение длительного времени, чаще отмечается образование железистых кист в желудке, которые проходят самостоятельно</w:t>
      </w:r>
      <w:r w:rsidR="000368C5" w:rsidRPr="00847A58">
        <w:rPr>
          <w:rStyle w:val="ab"/>
          <w:b w:val="0"/>
          <w:sz w:val="28"/>
          <w:szCs w:val="28"/>
          <w:u w:val="none"/>
        </w:rPr>
        <w:t xml:space="preserve"> на фоне продолжения терапии. </w:t>
      </w:r>
      <w:r w:rsidR="000368C5" w:rsidRPr="00515796">
        <w:rPr>
          <w:rStyle w:val="ab"/>
          <w:b w:val="0"/>
          <w:sz w:val="28"/>
          <w:szCs w:val="28"/>
          <w:u w:val="none"/>
        </w:rPr>
        <w:t>Эти явления обусловлены физиологическими изменениями в результате ингибирования секреции соляной кислоты.</w:t>
      </w:r>
    </w:p>
    <w:p w:rsidR="00172458" w:rsidRPr="004317B9" w:rsidRDefault="000368C5" w:rsidP="008F054F">
      <w:pPr>
        <w:pStyle w:val="9"/>
        <w:shd w:val="clear" w:color="auto" w:fill="auto"/>
        <w:spacing w:line="360" w:lineRule="auto"/>
        <w:jc w:val="both"/>
        <w:rPr>
          <w:rStyle w:val="ab"/>
          <w:b w:val="0"/>
          <w:sz w:val="28"/>
          <w:szCs w:val="28"/>
          <w:u w:val="none"/>
        </w:rPr>
      </w:pPr>
      <w:r w:rsidRPr="00F7425B">
        <w:rPr>
          <w:rStyle w:val="ab"/>
          <w:b w:val="0"/>
          <w:sz w:val="28"/>
          <w:szCs w:val="28"/>
          <w:u w:val="none"/>
        </w:rPr>
        <w:t xml:space="preserve">Снижение секреции соляной кислоты в желудке под действием ингибиторов протонной помпы или других </w:t>
      </w:r>
      <w:proofErr w:type="spellStart"/>
      <w:r w:rsidRPr="00F7425B">
        <w:rPr>
          <w:rStyle w:val="ab"/>
          <w:b w:val="0"/>
          <w:sz w:val="28"/>
          <w:szCs w:val="28"/>
          <w:u w:val="none"/>
        </w:rPr>
        <w:t>кислотоингибирующих</w:t>
      </w:r>
      <w:proofErr w:type="spellEnd"/>
      <w:r w:rsidRPr="00F7425B">
        <w:rPr>
          <w:rStyle w:val="ab"/>
          <w:b w:val="0"/>
          <w:sz w:val="28"/>
          <w:szCs w:val="28"/>
          <w:u w:val="none"/>
        </w:rPr>
        <w:t xml:space="preserve"> агентов приводит к повышению роста нормальной микрофлоры кишечника, что в свою очередь может приводить к незначительному увеличению риска развития кишечных инфекций, вызванных бактериями рода </w:t>
      </w:r>
      <w:r w:rsidRPr="00975892">
        <w:rPr>
          <w:rStyle w:val="ab"/>
          <w:b w:val="0"/>
          <w:i/>
          <w:sz w:val="28"/>
          <w:szCs w:val="28"/>
          <w:u w:val="none"/>
          <w:lang w:val="en-US"/>
        </w:rPr>
        <w:t>Salmonella</w:t>
      </w:r>
      <w:r w:rsidRPr="00975892">
        <w:rPr>
          <w:rStyle w:val="ab"/>
          <w:b w:val="0"/>
          <w:i/>
          <w:sz w:val="28"/>
          <w:szCs w:val="28"/>
          <w:u w:val="none"/>
        </w:rPr>
        <w:t xml:space="preserve"> </w:t>
      </w:r>
      <w:proofErr w:type="spellStart"/>
      <w:r w:rsidRPr="00975892">
        <w:rPr>
          <w:rStyle w:val="ab"/>
          <w:b w:val="0"/>
          <w:i/>
          <w:sz w:val="28"/>
          <w:szCs w:val="28"/>
          <w:u w:val="none"/>
          <w:lang w:val="en-US"/>
        </w:rPr>
        <w:t>spp</w:t>
      </w:r>
      <w:proofErr w:type="spellEnd"/>
      <w:r w:rsidRPr="00975892">
        <w:rPr>
          <w:rStyle w:val="ab"/>
          <w:b w:val="0"/>
          <w:i/>
          <w:sz w:val="28"/>
          <w:szCs w:val="28"/>
          <w:u w:val="none"/>
        </w:rPr>
        <w:t>.</w:t>
      </w:r>
      <w:r w:rsidRPr="004317B9">
        <w:rPr>
          <w:rStyle w:val="ab"/>
          <w:b w:val="0"/>
          <w:sz w:val="28"/>
          <w:szCs w:val="28"/>
          <w:u w:val="none"/>
        </w:rPr>
        <w:t xml:space="preserve"> и </w:t>
      </w:r>
      <w:r w:rsidRPr="00975892">
        <w:rPr>
          <w:rStyle w:val="ab"/>
          <w:b w:val="0"/>
          <w:i/>
          <w:sz w:val="28"/>
          <w:szCs w:val="28"/>
          <w:u w:val="none"/>
          <w:lang w:val="en-US"/>
        </w:rPr>
        <w:t>Campylobacter</w:t>
      </w:r>
      <w:r w:rsidRPr="00975892">
        <w:rPr>
          <w:rStyle w:val="ab"/>
          <w:b w:val="0"/>
          <w:i/>
          <w:sz w:val="28"/>
          <w:szCs w:val="28"/>
          <w:u w:val="none"/>
        </w:rPr>
        <w:t xml:space="preserve"> </w:t>
      </w:r>
      <w:proofErr w:type="spellStart"/>
      <w:r w:rsidRPr="00975892">
        <w:rPr>
          <w:rStyle w:val="ab"/>
          <w:b w:val="0"/>
          <w:i/>
          <w:sz w:val="28"/>
          <w:szCs w:val="28"/>
          <w:u w:val="none"/>
          <w:lang w:val="en-US"/>
        </w:rPr>
        <w:t>spp</w:t>
      </w:r>
      <w:proofErr w:type="spellEnd"/>
      <w:r w:rsidRPr="004317B9">
        <w:rPr>
          <w:rStyle w:val="ab"/>
          <w:b w:val="0"/>
          <w:sz w:val="28"/>
          <w:szCs w:val="28"/>
          <w:u w:val="none"/>
        </w:rPr>
        <w:t xml:space="preserve">., а также, вероятно, бактерий </w:t>
      </w:r>
      <w:r w:rsidRPr="00975892">
        <w:rPr>
          <w:rStyle w:val="ab"/>
          <w:b w:val="0"/>
          <w:i/>
          <w:sz w:val="28"/>
          <w:szCs w:val="28"/>
          <w:u w:val="none"/>
          <w:lang w:val="en-US"/>
        </w:rPr>
        <w:t>Clostridium</w:t>
      </w:r>
      <w:r w:rsidRPr="00975892">
        <w:rPr>
          <w:rStyle w:val="ab"/>
          <w:b w:val="0"/>
          <w:i/>
          <w:sz w:val="28"/>
          <w:szCs w:val="28"/>
          <w:u w:val="none"/>
        </w:rPr>
        <w:t xml:space="preserve"> </w:t>
      </w:r>
      <w:r w:rsidRPr="00975892">
        <w:rPr>
          <w:rStyle w:val="ab"/>
          <w:b w:val="0"/>
          <w:i/>
          <w:sz w:val="28"/>
          <w:szCs w:val="28"/>
          <w:u w:val="none"/>
          <w:lang w:val="en-US"/>
        </w:rPr>
        <w:t>difficile</w:t>
      </w:r>
      <w:r w:rsidRPr="004317B9">
        <w:rPr>
          <w:rStyle w:val="ab"/>
          <w:b w:val="0"/>
          <w:sz w:val="28"/>
          <w:szCs w:val="28"/>
          <w:u w:val="none"/>
        </w:rPr>
        <w:t xml:space="preserve"> у госпитализированных пациентов.</w:t>
      </w:r>
    </w:p>
    <w:p w:rsidR="008D140E" w:rsidRPr="001A5299" w:rsidRDefault="00690CD9" w:rsidP="00673126">
      <w:pPr>
        <w:pStyle w:val="9"/>
        <w:shd w:val="clear" w:color="auto" w:fill="auto"/>
        <w:spacing w:line="360" w:lineRule="auto"/>
        <w:ind w:right="102"/>
        <w:jc w:val="both"/>
        <w:rPr>
          <w:b/>
          <w:sz w:val="28"/>
          <w:szCs w:val="28"/>
        </w:rPr>
      </w:pPr>
      <w:r w:rsidRPr="00690CD9">
        <w:rPr>
          <w:b/>
          <w:sz w:val="28"/>
          <w:szCs w:val="28"/>
        </w:rPr>
        <w:t>Влияние на способность управления транспортными средствами, механи</w:t>
      </w:r>
      <w:r w:rsidR="00412B05" w:rsidRPr="00666026">
        <w:rPr>
          <w:b/>
          <w:sz w:val="28"/>
          <w:szCs w:val="28"/>
        </w:rPr>
        <w:t>змами</w:t>
      </w:r>
    </w:p>
    <w:p w:rsidR="003F7000" w:rsidRPr="001A5299" w:rsidRDefault="007A5DF4" w:rsidP="00673126">
      <w:pPr>
        <w:pStyle w:val="9"/>
        <w:shd w:val="clear" w:color="auto" w:fill="auto"/>
        <w:spacing w:line="360" w:lineRule="auto"/>
        <w:ind w:right="102"/>
        <w:jc w:val="both"/>
        <w:rPr>
          <w:sz w:val="28"/>
          <w:szCs w:val="28"/>
        </w:rPr>
      </w:pPr>
      <w:r w:rsidRPr="001A5299">
        <w:rPr>
          <w:sz w:val="28"/>
          <w:szCs w:val="28"/>
        </w:rPr>
        <w:t>При приеме препарата может возникнуть головокружение, сонливость, нарушение зрения, поэтому следует соблюдать осторожность при управлении транспортными средствами и занятиях потенциально опасными видами деятельности, требующих повышенной концентрации внимания и скорости психомоторных реакций.</w:t>
      </w:r>
    </w:p>
    <w:p w:rsidR="006A7547" w:rsidRPr="00D2553E" w:rsidRDefault="00FD6271" w:rsidP="00197CFF">
      <w:pPr>
        <w:pStyle w:val="9"/>
        <w:shd w:val="clear" w:color="auto" w:fill="auto"/>
        <w:spacing w:line="360" w:lineRule="auto"/>
        <w:ind w:right="20"/>
        <w:jc w:val="both"/>
        <w:rPr>
          <w:b/>
          <w:sz w:val="28"/>
          <w:szCs w:val="28"/>
        </w:rPr>
      </w:pPr>
      <w:r w:rsidRPr="00D2553E">
        <w:rPr>
          <w:b/>
          <w:sz w:val="28"/>
          <w:szCs w:val="28"/>
        </w:rPr>
        <w:t>Форма выпуска</w:t>
      </w:r>
    </w:p>
    <w:p w:rsidR="00FD6271" w:rsidRPr="00D2553E" w:rsidRDefault="0045181A" w:rsidP="00673126">
      <w:pPr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3E">
        <w:rPr>
          <w:rFonts w:ascii="Times New Roman" w:eastAsia="Calibri" w:hAnsi="Times New Roman" w:cs="Times New Roman"/>
          <w:sz w:val="28"/>
          <w:szCs w:val="28"/>
        </w:rPr>
        <w:t>Капсулы 20 мг.</w:t>
      </w:r>
    </w:p>
    <w:p w:rsidR="0045181A" w:rsidRPr="00D2553E" w:rsidRDefault="0045181A" w:rsidP="00673126">
      <w:pPr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3E">
        <w:rPr>
          <w:rFonts w:ascii="Times New Roman" w:eastAsia="Calibri" w:hAnsi="Times New Roman" w:cs="Times New Roman"/>
          <w:sz w:val="28"/>
          <w:szCs w:val="28"/>
        </w:rPr>
        <w:t>По 10 капсул в контурную ячейковую упаковку из пленки поливинилхлоридной и фольги алюминиевой печатной лакированной.</w:t>
      </w:r>
    </w:p>
    <w:p w:rsidR="0045181A" w:rsidRPr="00D2553E" w:rsidRDefault="0045181A" w:rsidP="00673126">
      <w:pPr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53E">
        <w:rPr>
          <w:rFonts w:ascii="Times New Roman" w:eastAsia="Calibri" w:hAnsi="Times New Roman" w:cs="Times New Roman"/>
          <w:sz w:val="28"/>
          <w:szCs w:val="28"/>
        </w:rPr>
        <w:t xml:space="preserve">По 1, 2, 3, 4 или 5 контурных </w:t>
      </w:r>
      <w:r w:rsidR="004D527F" w:rsidRPr="00D2553E">
        <w:rPr>
          <w:rFonts w:ascii="Times New Roman" w:eastAsia="Calibri" w:hAnsi="Times New Roman" w:cs="Times New Roman"/>
          <w:sz w:val="28"/>
          <w:szCs w:val="28"/>
        </w:rPr>
        <w:t>ячейковых упаковок</w:t>
      </w:r>
      <w:r w:rsidRPr="00D25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27F" w:rsidRPr="00D2553E"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Pr="00D2553E">
        <w:rPr>
          <w:rFonts w:ascii="Times New Roman" w:eastAsia="Calibri" w:hAnsi="Times New Roman" w:cs="Times New Roman"/>
          <w:sz w:val="28"/>
          <w:szCs w:val="28"/>
        </w:rPr>
        <w:t>с инструкцией по применени</w:t>
      </w:r>
      <w:r w:rsidR="004D527F" w:rsidRPr="00D2553E">
        <w:rPr>
          <w:rFonts w:ascii="Times New Roman" w:eastAsia="Calibri" w:hAnsi="Times New Roman" w:cs="Times New Roman"/>
          <w:sz w:val="28"/>
          <w:szCs w:val="28"/>
        </w:rPr>
        <w:t>ю</w:t>
      </w:r>
      <w:r w:rsidRPr="00D25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27F" w:rsidRPr="00D2553E">
        <w:rPr>
          <w:rFonts w:ascii="Times New Roman" w:eastAsia="Calibri" w:hAnsi="Times New Roman" w:cs="Times New Roman"/>
          <w:sz w:val="28"/>
          <w:szCs w:val="28"/>
        </w:rPr>
        <w:t xml:space="preserve">помещают </w:t>
      </w:r>
      <w:r w:rsidRPr="00D2553E">
        <w:rPr>
          <w:rFonts w:ascii="Times New Roman" w:eastAsia="Calibri" w:hAnsi="Times New Roman" w:cs="Times New Roman"/>
          <w:sz w:val="28"/>
          <w:szCs w:val="28"/>
        </w:rPr>
        <w:t>в пачку из картона.</w:t>
      </w:r>
    </w:p>
    <w:p w:rsidR="00FD6271" w:rsidRPr="00D2553E" w:rsidRDefault="00412B05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  <w:r w:rsidRPr="00D2553E">
        <w:rPr>
          <w:b/>
          <w:sz w:val="28"/>
          <w:szCs w:val="28"/>
        </w:rPr>
        <w:lastRenderedPageBreak/>
        <w:t>Условия хранения</w:t>
      </w:r>
    </w:p>
    <w:p w:rsidR="005B3EC5" w:rsidRPr="00D2553E" w:rsidRDefault="005B3EC5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 xml:space="preserve">В защищенном от света и влаги месте при температуре не выше 25 </w:t>
      </w:r>
      <w:r w:rsidR="006179E8" w:rsidRPr="00D2553E">
        <w:rPr>
          <w:sz w:val="28"/>
          <w:szCs w:val="28"/>
          <w:vertAlign w:val="superscript"/>
        </w:rPr>
        <w:t>°</w:t>
      </w:r>
      <w:r w:rsidRPr="00D2553E">
        <w:rPr>
          <w:sz w:val="28"/>
          <w:szCs w:val="28"/>
        </w:rPr>
        <w:t>С.</w:t>
      </w:r>
    </w:p>
    <w:p w:rsidR="00104D3D" w:rsidRPr="00D2553E" w:rsidRDefault="00104D3D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>Хранить в недоступном для детей месте.</w:t>
      </w:r>
    </w:p>
    <w:p w:rsidR="00FD6271" w:rsidRPr="00D2553E" w:rsidRDefault="00412B05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  <w:r w:rsidRPr="00D2553E">
        <w:rPr>
          <w:b/>
          <w:sz w:val="28"/>
          <w:szCs w:val="28"/>
        </w:rPr>
        <w:t>Срок годности</w:t>
      </w:r>
    </w:p>
    <w:p w:rsidR="00FD6271" w:rsidRPr="00D2553E" w:rsidRDefault="005B3EC5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>3</w:t>
      </w:r>
      <w:r w:rsidR="00FD6271" w:rsidRPr="00D2553E">
        <w:rPr>
          <w:sz w:val="28"/>
          <w:szCs w:val="28"/>
        </w:rPr>
        <w:t xml:space="preserve"> года.</w:t>
      </w:r>
    </w:p>
    <w:p w:rsidR="00FD6271" w:rsidRPr="00D2553E" w:rsidRDefault="00CA501B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 xml:space="preserve">Не </w:t>
      </w:r>
      <w:r w:rsidR="002E2205" w:rsidRPr="00D2553E">
        <w:rPr>
          <w:sz w:val="28"/>
          <w:szCs w:val="28"/>
        </w:rPr>
        <w:t>применять</w:t>
      </w:r>
      <w:r w:rsidR="005B3EC5" w:rsidRPr="00D2553E">
        <w:rPr>
          <w:sz w:val="28"/>
          <w:szCs w:val="28"/>
        </w:rPr>
        <w:t xml:space="preserve"> после истечения срока годности, указанного на упаковке.</w:t>
      </w:r>
    </w:p>
    <w:p w:rsidR="00975892" w:rsidRDefault="00975892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</w:p>
    <w:p w:rsidR="00CA501B" w:rsidRPr="00D2553E" w:rsidRDefault="00412B05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  <w:r w:rsidRPr="00D2553E">
        <w:rPr>
          <w:b/>
          <w:sz w:val="28"/>
          <w:szCs w:val="28"/>
        </w:rPr>
        <w:t>Условия отпуска</w:t>
      </w:r>
    </w:p>
    <w:p w:rsidR="00CA501B" w:rsidRPr="00D2553E" w:rsidRDefault="00CA501B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>По рецепту.</w:t>
      </w:r>
    </w:p>
    <w:p w:rsidR="00CA501B" w:rsidRPr="00D2553E" w:rsidRDefault="00CA501B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  <w:r w:rsidRPr="00D2553E">
        <w:rPr>
          <w:b/>
          <w:sz w:val="28"/>
          <w:szCs w:val="28"/>
        </w:rPr>
        <w:t>Наименование и адрес юридического лица, на имя которого выдано регистрационное удостоверение/орг</w:t>
      </w:r>
      <w:r w:rsidR="00412B05" w:rsidRPr="00D2553E">
        <w:rPr>
          <w:b/>
          <w:sz w:val="28"/>
          <w:szCs w:val="28"/>
        </w:rPr>
        <w:t>анизация, принимающая претензии</w:t>
      </w:r>
      <w:r w:rsidR="006179E8" w:rsidRPr="00D2553E">
        <w:rPr>
          <w:b/>
          <w:sz w:val="28"/>
          <w:szCs w:val="28"/>
        </w:rPr>
        <w:t>:</w:t>
      </w:r>
    </w:p>
    <w:p w:rsidR="00CA501B" w:rsidRPr="001A5299" w:rsidRDefault="00CA501B" w:rsidP="00673126">
      <w:pPr>
        <w:pStyle w:val="9"/>
        <w:shd w:val="clear" w:color="auto" w:fill="auto"/>
        <w:spacing w:line="360" w:lineRule="auto"/>
        <w:ind w:left="23" w:right="20"/>
        <w:jc w:val="both"/>
        <w:rPr>
          <w:spacing w:val="-6"/>
          <w:sz w:val="28"/>
          <w:szCs w:val="28"/>
        </w:rPr>
      </w:pPr>
      <w:r w:rsidRPr="001A5299">
        <w:rPr>
          <w:spacing w:val="-6"/>
          <w:sz w:val="28"/>
          <w:szCs w:val="28"/>
        </w:rPr>
        <w:t>АО «АВВА РУС», Россия, 121614, г. Москва, ул. Крылатские Холмы, д. 30, корп. 9.</w:t>
      </w:r>
    </w:p>
    <w:p w:rsidR="00CA501B" w:rsidRPr="00D2553E" w:rsidRDefault="00CA501B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>Тел</w:t>
      </w:r>
      <w:r w:rsidR="001A5299">
        <w:rPr>
          <w:sz w:val="28"/>
          <w:szCs w:val="28"/>
        </w:rPr>
        <w:t>.</w:t>
      </w:r>
      <w:r w:rsidRPr="00D2553E">
        <w:rPr>
          <w:sz w:val="28"/>
          <w:szCs w:val="28"/>
        </w:rPr>
        <w:t>/факс: +7 (495) 956-75-54</w:t>
      </w:r>
      <w:r w:rsidR="00302FF9" w:rsidRPr="00D2553E">
        <w:rPr>
          <w:sz w:val="28"/>
          <w:szCs w:val="28"/>
        </w:rPr>
        <w:t>.</w:t>
      </w:r>
    </w:p>
    <w:p w:rsidR="00302FF9" w:rsidRPr="00D2553E" w:rsidRDefault="00302FF9" w:rsidP="00673126">
      <w:pPr>
        <w:pStyle w:val="9"/>
        <w:shd w:val="clear" w:color="auto" w:fill="auto"/>
        <w:spacing w:line="360" w:lineRule="auto"/>
        <w:ind w:left="23" w:right="20"/>
        <w:jc w:val="both"/>
        <w:rPr>
          <w:b/>
          <w:sz w:val="28"/>
          <w:szCs w:val="28"/>
        </w:rPr>
      </w:pPr>
      <w:r w:rsidRPr="00D2553E">
        <w:rPr>
          <w:b/>
          <w:sz w:val="28"/>
          <w:szCs w:val="28"/>
        </w:rPr>
        <w:t>Адрес места производства:</w:t>
      </w:r>
    </w:p>
    <w:p w:rsidR="00302FF9" w:rsidRPr="001A5299" w:rsidRDefault="00302FF9" w:rsidP="00673126">
      <w:pPr>
        <w:pStyle w:val="9"/>
        <w:shd w:val="clear" w:color="auto" w:fill="auto"/>
        <w:spacing w:line="360" w:lineRule="auto"/>
        <w:ind w:left="23" w:right="20"/>
        <w:jc w:val="both"/>
        <w:rPr>
          <w:spacing w:val="-6"/>
          <w:sz w:val="28"/>
          <w:szCs w:val="28"/>
        </w:rPr>
      </w:pPr>
      <w:r w:rsidRPr="001A5299">
        <w:rPr>
          <w:spacing w:val="-6"/>
          <w:sz w:val="28"/>
          <w:szCs w:val="28"/>
        </w:rPr>
        <w:t>АО «АВВА РУС», Россия, 610044, Кировская обл., г.</w:t>
      </w:r>
      <w:r w:rsidR="00515796">
        <w:rPr>
          <w:spacing w:val="-6"/>
          <w:sz w:val="28"/>
          <w:szCs w:val="28"/>
        </w:rPr>
        <w:t xml:space="preserve"> </w:t>
      </w:r>
      <w:r w:rsidRPr="001A5299">
        <w:rPr>
          <w:spacing w:val="-6"/>
          <w:sz w:val="28"/>
          <w:szCs w:val="28"/>
        </w:rPr>
        <w:t>Киров, ул. Луганская д. 53а.</w:t>
      </w:r>
    </w:p>
    <w:p w:rsidR="00302FF9" w:rsidRPr="00D2553E" w:rsidRDefault="00302FF9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>Тел.: +7 (8332) 25-12-29; +7 (495) 956-75-54.</w:t>
      </w:r>
    </w:p>
    <w:p w:rsidR="00AD3425" w:rsidRPr="00D2553E" w:rsidRDefault="00AD3425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proofErr w:type="spellStart"/>
      <w:r w:rsidRPr="00D2553E">
        <w:rPr>
          <w:sz w:val="28"/>
          <w:szCs w:val="28"/>
          <w:lang w:val="en-US"/>
        </w:rPr>
        <w:t>avva</w:t>
      </w:r>
      <w:proofErr w:type="spellEnd"/>
      <w:r w:rsidRPr="00D2553E">
        <w:rPr>
          <w:sz w:val="28"/>
          <w:szCs w:val="28"/>
        </w:rPr>
        <w:t>.</w:t>
      </w:r>
      <w:r w:rsidRPr="00D2553E">
        <w:rPr>
          <w:sz w:val="28"/>
          <w:szCs w:val="28"/>
          <w:lang w:val="en-US"/>
        </w:rPr>
        <w:t>com</w:t>
      </w:r>
      <w:r w:rsidRPr="00D2553E">
        <w:rPr>
          <w:sz w:val="28"/>
          <w:szCs w:val="28"/>
        </w:rPr>
        <w:t>.</w:t>
      </w:r>
      <w:proofErr w:type="spellStart"/>
      <w:r w:rsidRPr="00D2553E">
        <w:rPr>
          <w:sz w:val="28"/>
          <w:szCs w:val="28"/>
          <w:lang w:val="en-US"/>
        </w:rPr>
        <w:t>ru</w:t>
      </w:r>
      <w:proofErr w:type="spellEnd"/>
    </w:p>
    <w:p w:rsidR="00302FF9" w:rsidRPr="00D2553E" w:rsidRDefault="00302FF9" w:rsidP="005D633B">
      <w:pPr>
        <w:pStyle w:val="9"/>
        <w:shd w:val="clear" w:color="auto" w:fill="auto"/>
        <w:spacing w:line="360" w:lineRule="auto"/>
        <w:ind w:right="20"/>
        <w:jc w:val="both"/>
        <w:rPr>
          <w:sz w:val="28"/>
          <w:szCs w:val="28"/>
        </w:rPr>
      </w:pPr>
    </w:p>
    <w:p w:rsidR="006179E8" w:rsidRPr="00D2553E" w:rsidRDefault="00302FF9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C931F6">
        <w:rPr>
          <w:sz w:val="28"/>
          <w:szCs w:val="28"/>
        </w:rPr>
        <w:t xml:space="preserve">Руководитель </w:t>
      </w:r>
      <w:r w:rsidR="00515796" w:rsidRPr="00C931F6">
        <w:rPr>
          <w:sz w:val="28"/>
          <w:szCs w:val="28"/>
        </w:rPr>
        <w:t>регуляторного отдела</w:t>
      </w:r>
    </w:p>
    <w:p w:rsidR="00FD6271" w:rsidRPr="00D2553E" w:rsidRDefault="006179E8" w:rsidP="00673126">
      <w:pPr>
        <w:pStyle w:val="9"/>
        <w:shd w:val="clear" w:color="auto" w:fill="auto"/>
        <w:spacing w:line="360" w:lineRule="auto"/>
        <w:ind w:left="23" w:right="20"/>
        <w:jc w:val="both"/>
        <w:rPr>
          <w:sz w:val="28"/>
          <w:szCs w:val="28"/>
        </w:rPr>
      </w:pPr>
      <w:r w:rsidRPr="00D2553E">
        <w:rPr>
          <w:sz w:val="28"/>
          <w:szCs w:val="28"/>
        </w:rPr>
        <w:t>А</w:t>
      </w:r>
      <w:r w:rsidR="00302FF9" w:rsidRPr="00D2553E">
        <w:rPr>
          <w:sz w:val="28"/>
          <w:szCs w:val="28"/>
        </w:rPr>
        <w:t xml:space="preserve">О «АВВА РУС»           </w:t>
      </w:r>
      <w:bookmarkStart w:id="0" w:name="_GoBack"/>
      <w:bookmarkEnd w:id="0"/>
      <w:r w:rsidR="00302FF9" w:rsidRPr="00D2553E">
        <w:rPr>
          <w:sz w:val="28"/>
          <w:szCs w:val="28"/>
        </w:rPr>
        <w:t xml:space="preserve"> </w:t>
      </w:r>
      <w:r w:rsidRPr="00D2553E">
        <w:rPr>
          <w:sz w:val="28"/>
          <w:szCs w:val="28"/>
        </w:rPr>
        <w:t xml:space="preserve">                                                  </w:t>
      </w:r>
      <w:r w:rsidR="00302FF9" w:rsidRPr="00D2553E">
        <w:rPr>
          <w:sz w:val="28"/>
          <w:szCs w:val="28"/>
        </w:rPr>
        <w:t xml:space="preserve">                  Тукова М.М.</w:t>
      </w:r>
    </w:p>
    <w:sectPr w:rsidR="00FD6271" w:rsidRPr="00D2553E" w:rsidSect="006179E8">
      <w:footerReference w:type="default" r:id="rId8"/>
      <w:pgSz w:w="11906" w:h="16838"/>
      <w:pgMar w:top="851" w:right="991" w:bottom="426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B7" w:rsidRDefault="000145B7" w:rsidP="006179E8">
      <w:pPr>
        <w:spacing w:after="0" w:line="240" w:lineRule="auto"/>
      </w:pPr>
      <w:r>
        <w:separator/>
      </w:r>
    </w:p>
  </w:endnote>
  <w:endnote w:type="continuationSeparator" w:id="0">
    <w:p w:rsidR="000145B7" w:rsidRDefault="000145B7" w:rsidP="0061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99398"/>
      <w:docPartObj>
        <w:docPartGallery w:val="Page Numbers (Bottom of Page)"/>
        <w:docPartUnique/>
      </w:docPartObj>
    </w:sdtPr>
    <w:sdtContent>
      <w:p w:rsidR="006179E8" w:rsidRDefault="00690CD9">
        <w:pPr>
          <w:pStyle w:val="ac"/>
          <w:jc w:val="right"/>
        </w:pPr>
        <w:r>
          <w:fldChar w:fldCharType="begin"/>
        </w:r>
        <w:r w:rsidR="006179E8">
          <w:instrText>PAGE   \* MERGEFORMAT</w:instrText>
        </w:r>
        <w:r>
          <w:fldChar w:fldCharType="separate"/>
        </w:r>
        <w:r w:rsidR="00261FB1">
          <w:rPr>
            <w:noProof/>
          </w:rPr>
          <w:t>13</w:t>
        </w:r>
        <w:r>
          <w:fldChar w:fldCharType="end"/>
        </w:r>
      </w:p>
    </w:sdtContent>
  </w:sdt>
  <w:p w:rsidR="006179E8" w:rsidRDefault="006179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B7" w:rsidRDefault="000145B7" w:rsidP="006179E8">
      <w:pPr>
        <w:spacing w:after="0" w:line="240" w:lineRule="auto"/>
      </w:pPr>
      <w:r>
        <w:separator/>
      </w:r>
    </w:p>
  </w:footnote>
  <w:footnote w:type="continuationSeparator" w:id="0">
    <w:p w:rsidR="000145B7" w:rsidRDefault="000145B7" w:rsidP="0061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50"/>
    <w:multiLevelType w:val="hybridMultilevel"/>
    <w:tmpl w:val="E8B29C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6526FF0"/>
    <w:multiLevelType w:val="hybridMultilevel"/>
    <w:tmpl w:val="5590E2C6"/>
    <w:lvl w:ilvl="0" w:tplc="25AA2F36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855720E"/>
    <w:multiLevelType w:val="hybridMultilevel"/>
    <w:tmpl w:val="601A3774"/>
    <w:lvl w:ilvl="0" w:tplc="2D02013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353D14B0"/>
    <w:multiLevelType w:val="hybridMultilevel"/>
    <w:tmpl w:val="9CD8B9B6"/>
    <w:lvl w:ilvl="0" w:tplc="2D02013A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372A121C"/>
    <w:multiLevelType w:val="multilevel"/>
    <w:tmpl w:val="BC882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B36B2"/>
    <w:multiLevelType w:val="hybridMultilevel"/>
    <w:tmpl w:val="C0A4FAA0"/>
    <w:lvl w:ilvl="0" w:tplc="2D02013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5B230875"/>
    <w:multiLevelType w:val="hybridMultilevel"/>
    <w:tmpl w:val="5492C990"/>
    <w:lvl w:ilvl="0" w:tplc="25AA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3BFC"/>
    <w:multiLevelType w:val="multilevel"/>
    <w:tmpl w:val="CA2A38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.bayborodova">
    <w15:presenceInfo w15:providerId="None" w15:userId="e.bayborod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5C6E"/>
    <w:rsid w:val="0000448C"/>
    <w:rsid w:val="0001382F"/>
    <w:rsid w:val="000145B7"/>
    <w:rsid w:val="000201CC"/>
    <w:rsid w:val="00032708"/>
    <w:rsid w:val="0003374B"/>
    <w:rsid w:val="000368C5"/>
    <w:rsid w:val="000760FC"/>
    <w:rsid w:val="00081574"/>
    <w:rsid w:val="000833C9"/>
    <w:rsid w:val="00086828"/>
    <w:rsid w:val="00090ABE"/>
    <w:rsid w:val="000A3FA8"/>
    <w:rsid w:val="000B77A8"/>
    <w:rsid w:val="00104D3D"/>
    <w:rsid w:val="001140C4"/>
    <w:rsid w:val="0011766E"/>
    <w:rsid w:val="001241A7"/>
    <w:rsid w:val="001459A0"/>
    <w:rsid w:val="00155CE0"/>
    <w:rsid w:val="00170C16"/>
    <w:rsid w:val="00172458"/>
    <w:rsid w:val="00197CFF"/>
    <w:rsid w:val="001A5299"/>
    <w:rsid w:val="001B1C1A"/>
    <w:rsid w:val="001D6317"/>
    <w:rsid w:val="002246C1"/>
    <w:rsid w:val="00261FB1"/>
    <w:rsid w:val="0028712C"/>
    <w:rsid w:val="00291CFF"/>
    <w:rsid w:val="002961CB"/>
    <w:rsid w:val="002B48FB"/>
    <w:rsid w:val="002B5C6E"/>
    <w:rsid w:val="002C042C"/>
    <w:rsid w:val="002C74E4"/>
    <w:rsid w:val="002E2205"/>
    <w:rsid w:val="002F36FC"/>
    <w:rsid w:val="002F6A72"/>
    <w:rsid w:val="00302FF9"/>
    <w:rsid w:val="00304DB2"/>
    <w:rsid w:val="00315B63"/>
    <w:rsid w:val="00321473"/>
    <w:rsid w:val="003357FA"/>
    <w:rsid w:val="003D5011"/>
    <w:rsid w:val="003E1BBD"/>
    <w:rsid w:val="003F7000"/>
    <w:rsid w:val="00412B05"/>
    <w:rsid w:val="00430692"/>
    <w:rsid w:val="004317B9"/>
    <w:rsid w:val="00436613"/>
    <w:rsid w:val="0045181A"/>
    <w:rsid w:val="00457288"/>
    <w:rsid w:val="004678DF"/>
    <w:rsid w:val="004B4099"/>
    <w:rsid w:val="004D527F"/>
    <w:rsid w:val="005009A8"/>
    <w:rsid w:val="00503C2F"/>
    <w:rsid w:val="00514830"/>
    <w:rsid w:val="00515796"/>
    <w:rsid w:val="005234C3"/>
    <w:rsid w:val="005331E2"/>
    <w:rsid w:val="00537B79"/>
    <w:rsid w:val="00545AF0"/>
    <w:rsid w:val="00565732"/>
    <w:rsid w:val="00584179"/>
    <w:rsid w:val="005904E9"/>
    <w:rsid w:val="00594A53"/>
    <w:rsid w:val="005B3EC5"/>
    <w:rsid w:val="005D633B"/>
    <w:rsid w:val="005E6485"/>
    <w:rsid w:val="005F4041"/>
    <w:rsid w:val="005F4795"/>
    <w:rsid w:val="00617275"/>
    <w:rsid w:val="006179E8"/>
    <w:rsid w:val="006510D4"/>
    <w:rsid w:val="00666026"/>
    <w:rsid w:val="00673126"/>
    <w:rsid w:val="00690CD9"/>
    <w:rsid w:val="006A7547"/>
    <w:rsid w:val="006B226B"/>
    <w:rsid w:val="00775027"/>
    <w:rsid w:val="007A5DF4"/>
    <w:rsid w:val="007B2752"/>
    <w:rsid w:val="007B6C44"/>
    <w:rsid w:val="007D7BBF"/>
    <w:rsid w:val="0080625D"/>
    <w:rsid w:val="00847A58"/>
    <w:rsid w:val="008572FD"/>
    <w:rsid w:val="008656D1"/>
    <w:rsid w:val="008945B4"/>
    <w:rsid w:val="008A6406"/>
    <w:rsid w:val="008A7BF0"/>
    <w:rsid w:val="008D140E"/>
    <w:rsid w:val="008E7FB2"/>
    <w:rsid w:val="008F054F"/>
    <w:rsid w:val="00912366"/>
    <w:rsid w:val="00912817"/>
    <w:rsid w:val="00954C32"/>
    <w:rsid w:val="00975892"/>
    <w:rsid w:val="00982809"/>
    <w:rsid w:val="009C2228"/>
    <w:rsid w:val="009C65B6"/>
    <w:rsid w:val="00A169BE"/>
    <w:rsid w:val="00A91001"/>
    <w:rsid w:val="00AD3425"/>
    <w:rsid w:val="00AE6077"/>
    <w:rsid w:val="00B67D26"/>
    <w:rsid w:val="00B67EA9"/>
    <w:rsid w:val="00B90833"/>
    <w:rsid w:val="00C24DC1"/>
    <w:rsid w:val="00C3252C"/>
    <w:rsid w:val="00C931F6"/>
    <w:rsid w:val="00C977AC"/>
    <w:rsid w:val="00CA501B"/>
    <w:rsid w:val="00D15D95"/>
    <w:rsid w:val="00D206AE"/>
    <w:rsid w:val="00D2553E"/>
    <w:rsid w:val="00D37759"/>
    <w:rsid w:val="00D4237A"/>
    <w:rsid w:val="00D5612D"/>
    <w:rsid w:val="00D81482"/>
    <w:rsid w:val="00DA11C2"/>
    <w:rsid w:val="00DE777C"/>
    <w:rsid w:val="00E052BA"/>
    <w:rsid w:val="00E06BD4"/>
    <w:rsid w:val="00E22123"/>
    <w:rsid w:val="00E3603B"/>
    <w:rsid w:val="00E469AC"/>
    <w:rsid w:val="00E54DAB"/>
    <w:rsid w:val="00E55AE8"/>
    <w:rsid w:val="00E76DEE"/>
    <w:rsid w:val="00EB696C"/>
    <w:rsid w:val="00EE0FFB"/>
    <w:rsid w:val="00EE6FF7"/>
    <w:rsid w:val="00EF3E8B"/>
    <w:rsid w:val="00F34CB7"/>
    <w:rsid w:val="00F42BA9"/>
    <w:rsid w:val="00F7425B"/>
    <w:rsid w:val="00F952C3"/>
    <w:rsid w:val="00F95903"/>
    <w:rsid w:val="00F971B4"/>
    <w:rsid w:val="00FD6271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5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9"/>
    <w:rsid w:val="0091281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91281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1281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 (2)"/>
    <w:basedOn w:val="a0"/>
    <w:rsid w:val="0091281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3"/>
    <w:basedOn w:val="a3"/>
    <w:rsid w:val="00912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912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rsid w:val="0029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29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291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865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1">
    <w:name w:val="Основной текст (5)"/>
    <w:basedOn w:val="50"/>
    <w:rsid w:val="00865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basedOn w:val="a3"/>
    <w:rsid w:val="00865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</w:rPr>
  </w:style>
  <w:style w:type="character" w:styleId="a4">
    <w:name w:val="annotation reference"/>
    <w:basedOn w:val="a0"/>
    <w:uiPriority w:val="99"/>
    <w:semiHidden/>
    <w:unhideWhenUsed/>
    <w:rsid w:val="001176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76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76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76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76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66E"/>
    <w:rPr>
      <w:rFonts w:ascii="Tahoma" w:hAnsi="Tahoma" w:cs="Tahoma"/>
      <w:sz w:val="16"/>
      <w:szCs w:val="16"/>
    </w:rPr>
  </w:style>
  <w:style w:type="character" w:customStyle="1" w:styleId="ab">
    <w:name w:val="Основной текст + Полужирный"/>
    <w:basedOn w:val="a3"/>
    <w:rsid w:val="00806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8062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71">
    <w:name w:val="Основной текст (7)"/>
    <w:basedOn w:val="70"/>
    <w:rsid w:val="008062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70pt">
    <w:name w:val="Основной текст (7) + Не курсив;Интервал 0 pt"/>
    <w:basedOn w:val="70"/>
    <w:rsid w:val="008062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50pt">
    <w:name w:val="Основной текст (5) + Не полужирный;Курсив;Интервал 0 pt"/>
    <w:basedOn w:val="50"/>
    <w:rsid w:val="00806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52">
    <w:name w:val="Основной текст (5) + Не полужирный"/>
    <w:basedOn w:val="50"/>
    <w:rsid w:val="00806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Интервал 0 pt"/>
    <w:basedOn w:val="a3"/>
    <w:rsid w:val="00565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styleId="ac">
    <w:name w:val="footer"/>
    <w:basedOn w:val="a"/>
    <w:link w:val="ad"/>
    <w:uiPriority w:val="99"/>
    <w:rsid w:val="00FD62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D6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727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1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179E8"/>
  </w:style>
  <w:style w:type="character" w:customStyle="1" w:styleId="60">
    <w:name w:val="Основной текст (6)_"/>
    <w:basedOn w:val="a0"/>
    <w:link w:val="61"/>
    <w:rsid w:val="00D37759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37759"/>
    <w:pPr>
      <w:widowControl w:val="0"/>
      <w:shd w:val="clear" w:color="auto" w:fill="FFFFFF"/>
      <w:spacing w:after="0" w:line="0" w:lineRule="atLeast"/>
    </w:pPr>
    <w:rPr>
      <w:rFonts w:ascii="MS Mincho" w:eastAsia="MS Mincho" w:hAnsi="MS Mincho" w:cs="MS Mincho"/>
      <w:sz w:val="8"/>
      <w:szCs w:val="8"/>
    </w:rPr>
  </w:style>
  <w:style w:type="character" w:customStyle="1" w:styleId="20">
    <w:name w:val="Основной текст2"/>
    <w:basedOn w:val="a3"/>
    <w:rsid w:val="00E5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f1">
    <w:name w:val="Table Grid"/>
    <w:basedOn w:val="a1"/>
    <w:uiPriority w:val="59"/>
    <w:rsid w:val="00E5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43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9997-CD1D-4FA2-98F4-D2C02192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tukova</cp:lastModifiedBy>
  <cp:revision>2</cp:revision>
  <cp:lastPrinted>2019-05-16T11:34:00Z</cp:lastPrinted>
  <dcterms:created xsi:type="dcterms:W3CDTF">2019-05-16T11:34:00Z</dcterms:created>
  <dcterms:modified xsi:type="dcterms:W3CDTF">2019-05-16T11:34:00Z</dcterms:modified>
</cp:coreProperties>
</file>